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DC5" w:rsidRDefault="00E32DC5" w:rsidP="00E32DC5">
      <w:pPr>
        <w:rPr>
          <w:b/>
          <w:sz w:val="28"/>
          <w:szCs w:val="24"/>
        </w:rPr>
      </w:pPr>
      <w:bookmarkStart w:id="0" w:name="_GoBack"/>
      <w:bookmarkEnd w:id="0"/>
    </w:p>
    <w:p w:rsidR="00E32DC5" w:rsidRPr="00E32DC5" w:rsidRDefault="00E32DC5" w:rsidP="00E32DC5">
      <w:pPr>
        <w:pStyle w:val="ListParagraph"/>
        <w:numPr>
          <w:ilvl w:val="0"/>
          <w:numId w:val="1"/>
        </w:numPr>
        <w:ind w:left="0" w:hanging="425"/>
        <w:rPr>
          <w:b/>
          <w:sz w:val="28"/>
          <w:szCs w:val="24"/>
        </w:rPr>
      </w:pPr>
      <w:r w:rsidRPr="00E32DC5">
        <w:rPr>
          <w:b/>
          <w:sz w:val="28"/>
          <w:szCs w:val="24"/>
        </w:rPr>
        <w:t>Introduction</w:t>
      </w:r>
    </w:p>
    <w:p w:rsidR="00E32DC5" w:rsidRPr="00E32DC5" w:rsidRDefault="00E32DC5" w:rsidP="00E32DC5">
      <w:pPr>
        <w:pStyle w:val="BodyText"/>
        <w:rPr>
          <w:sz w:val="24"/>
          <w:szCs w:val="24"/>
        </w:rPr>
      </w:pPr>
      <w:r w:rsidRPr="00E32DC5">
        <w:rPr>
          <w:sz w:val="24"/>
          <w:szCs w:val="24"/>
        </w:rPr>
        <w:t xml:space="preserve">Limerick and Clare Education and Training Board (LCETB) ) is seeking an organisation to deliver an Integrated Youth Service to young people based in </w:t>
      </w:r>
      <w:r w:rsidRPr="00E32DC5">
        <w:rPr>
          <w:b/>
          <w:sz w:val="24"/>
          <w:szCs w:val="24"/>
          <w:u w:val="single"/>
        </w:rPr>
        <w:t>Garryowen, Limerick City</w:t>
      </w:r>
      <w:r w:rsidRPr="00E32DC5">
        <w:rPr>
          <w:sz w:val="24"/>
          <w:szCs w:val="24"/>
        </w:rPr>
        <w:t xml:space="preserve"> in line with the new </w:t>
      </w:r>
      <w:r w:rsidR="00045598" w:rsidRPr="00045598">
        <w:rPr>
          <w:b/>
          <w:sz w:val="24"/>
          <w:szCs w:val="24"/>
        </w:rPr>
        <w:t>Revised Youth Funding Scheme</w:t>
      </w:r>
      <w:r w:rsidRPr="00E32DC5">
        <w:rPr>
          <w:sz w:val="24"/>
          <w:szCs w:val="24"/>
        </w:rPr>
        <w:t xml:space="preserve"> from the Department of Children and Youth Affairs (DCYA). </w:t>
      </w:r>
    </w:p>
    <w:p w:rsidR="00E32DC5" w:rsidRPr="00E32DC5" w:rsidRDefault="00E32DC5" w:rsidP="00E32DC5">
      <w:pPr>
        <w:pStyle w:val="BodyText"/>
        <w:rPr>
          <w:sz w:val="24"/>
          <w:szCs w:val="24"/>
        </w:rPr>
      </w:pPr>
      <w:r w:rsidRPr="00E32DC5">
        <w:rPr>
          <w:sz w:val="24"/>
          <w:szCs w:val="24"/>
        </w:rPr>
        <w:t>The organisation we seek should:</w:t>
      </w:r>
    </w:p>
    <w:p w:rsidR="00E32DC5" w:rsidRPr="00E32DC5" w:rsidRDefault="00E32DC5" w:rsidP="00E32DC5">
      <w:pPr>
        <w:pStyle w:val="BodyText"/>
        <w:numPr>
          <w:ilvl w:val="0"/>
          <w:numId w:val="12"/>
        </w:numPr>
        <w:rPr>
          <w:sz w:val="24"/>
          <w:szCs w:val="24"/>
        </w:rPr>
      </w:pPr>
      <w:r w:rsidRPr="00E32DC5">
        <w:rPr>
          <w:sz w:val="24"/>
          <w:szCs w:val="24"/>
        </w:rPr>
        <w:t>Exemplify good practice in relation to vision, methodologies, governance, compliance, programme design and delivery</w:t>
      </w:r>
    </w:p>
    <w:p w:rsidR="00E32DC5" w:rsidRPr="00E32DC5" w:rsidRDefault="00E32DC5" w:rsidP="00E32DC5">
      <w:pPr>
        <w:pStyle w:val="BodyText"/>
        <w:numPr>
          <w:ilvl w:val="0"/>
          <w:numId w:val="12"/>
        </w:numPr>
        <w:rPr>
          <w:sz w:val="24"/>
          <w:szCs w:val="24"/>
        </w:rPr>
      </w:pPr>
      <w:r w:rsidRPr="00E32DC5">
        <w:rPr>
          <w:sz w:val="24"/>
          <w:szCs w:val="24"/>
        </w:rPr>
        <w:t>Be experienced in working with teenagers and young adults</w:t>
      </w:r>
      <w:r w:rsidRPr="00E32DC5">
        <w:rPr>
          <w:rFonts w:eastAsiaTheme="minorEastAsia"/>
          <w:sz w:val="24"/>
          <w:szCs w:val="24"/>
        </w:rPr>
        <w:t>, using an non-formal educational methodology</w:t>
      </w:r>
    </w:p>
    <w:p w:rsidR="00E32DC5" w:rsidRPr="00E32DC5" w:rsidRDefault="00E32DC5" w:rsidP="00E32DC5">
      <w:pPr>
        <w:pStyle w:val="ListParagraph"/>
        <w:numPr>
          <w:ilvl w:val="0"/>
          <w:numId w:val="12"/>
        </w:numPr>
        <w:rPr>
          <w:rFonts w:eastAsiaTheme="minorEastAsia"/>
          <w:sz w:val="24"/>
          <w:szCs w:val="24"/>
        </w:rPr>
      </w:pPr>
      <w:r w:rsidRPr="00E32DC5">
        <w:rPr>
          <w:rFonts w:eastAsiaTheme="minorEastAsia"/>
          <w:sz w:val="24"/>
          <w:szCs w:val="24"/>
        </w:rPr>
        <w:t>Operate in an out-of-school setting, including evenings and weekends</w:t>
      </w:r>
    </w:p>
    <w:p w:rsidR="00E32DC5" w:rsidRPr="00E32DC5" w:rsidRDefault="00E32DC5" w:rsidP="00E32DC5">
      <w:pPr>
        <w:pStyle w:val="ListParagraph"/>
        <w:rPr>
          <w:rFonts w:eastAsiaTheme="minorEastAsia"/>
          <w:sz w:val="24"/>
          <w:szCs w:val="24"/>
        </w:rPr>
      </w:pPr>
    </w:p>
    <w:p w:rsidR="00E32DC5" w:rsidRPr="00E32DC5" w:rsidRDefault="00E32DC5" w:rsidP="00E32DC5">
      <w:pPr>
        <w:pStyle w:val="ListParagraph"/>
        <w:numPr>
          <w:ilvl w:val="0"/>
          <w:numId w:val="12"/>
        </w:numPr>
        <w:rPr>
          <w:rFonts w:eastAsiaTheme="minorEastAsia"/>
          <w:sz w:val="24"/>
          <w:szCs w:val="24"/>
        </w:rPr>
      </w:pPr>
      <w:r w:rsidRPr="00E32DC5">
        <w:rPr>
          <w:rFonts w:eastAsiaTheme="minorEastAsia"/>
          <w:sz w:val="24"/>
          <w:szCs w:val="24"/>
        </w:rPr>
        <w:t>Understand the nature and needs of urban youth populations and offer appropriate responses</w:t>
      </w:r>
    </w:p>
    <w:p w:rsidR="00E32DC5" w:rsidRPr="00E32DC5" w:rsidRDefault="00E32DC5" w:rsidP="00E32DC5">
      <w:pPr>
        <w:pStyle w:val="BodyText"/>
        <w:numPr>
          <w:ilvl w:val="0"/>
          <w:numId w:val="12"/>
        </w:numPr>
        <w:rPr>
          <w:sz w:val="24"/>
          <w:szCs w:val="24"/>
        </w:rPr>
      </w:pPr>
      <w:r w:rsidRPr="00E32DC5">
        <w:rPr>
          <w:sz w:val="24"/>
          <w:szCs w:val="24"/>
        </w:rPr>
        <w:t xml:space="preserve">Able to devise and measure effective responses </w:t>
      </w:r>
    </w:p>
    <w:p w:rsidR="00E32DC5" w:rsidRPr="00E32DC5" w:rsidRDefault="00E32DC5" w:rsidP="00E32DC5">
      <w:pPr>
        <w:pStyle w:val="BodyText"/>
        <w:numPr>
          <w:ilvl w:val="0"/>
          <w:numId w:val="12"/>
        </w:numPr>
        <w:rPr>
          <w:sz w:val="24"/>
          <w:szCs w:val="24"/>
        </w:rPr>
      </w:pPr>
      <w:r w:rsidRPr="00E32DC5">
        <w:rPr>
          <w:sz w:val="24"/>
          <w:szCs w:val="24"/>
        </w:rPr>
        <w:t>Be committed to on-going sharing of learning and collaboration</w:t>
      </w:r>
    </w:p>
    <w:p w:rsidR="00E32DC5" w:rsidRPr="00E32DC5" w:rsidRDefault="00E32DC5" w:rsidP="00E32DC5">
      <w:pPr>
        <w:pStyle w:val="BodyText"/>
        <w:ind w:left="360"/>
        <w:rPr>
          <w:i/>
          <w:sz w:val="24"/>
          <w:szCs w:val="24"/>
        </w:rPr>
      </w:pPr>
    </w:p>
    <w:p w:rsidR="00E32DC5" w:rsidRPr="00FB76A2" w:rsidRDefault="00E32DC5" w:rsidP="00E32DC5">
      <w:pPr>
        <w:pStyle w:val="ListParagraph"/>
        <w:numPr>
          <w:ilvl w:val="0"/>
          <w:numId w:val="1"/>
        </w:numPr>
        <w:autoSpaceDE w:val="0"/>
        <w:autoSpaceDN w:val="0"/>
        <w:adjustRightInd w:val="0"/>
        <w:spacing w:after="0" w:line="240" w:lineRule="auto"/>
        <w:ind w:left="0"/>
        <w:rPr>
          <w:rFonts w:cstheme="minorHAnsi"/>
          <w:b/>
          <w:sz w:val="28"/>
        </w:rPr>
      </w:pPr>
      <w:r w:rsidRPr="00FB76A2">
        <w:rPr>
          <w:rFonts w:cstheme="minorHAnsi"/>
          <w:b/>
          <w:sz w:val="28"/>
        </w:rPr>
        <w:t>Background</w:t>
      </w:r>
    </w:p>
    <w:p w:rsidR="00E32DC5" w:rsidRDefault="00E32DC5" w:rsidP="00E32DC5">
      <w:pPr>
        <w:autoSpaceDE w:val="0"/>
        <w:autoSpaceDN w:val="0"/>
        <w:adjustRightInd w:val="0"/>
        <w:spacing w:after="0" w:line="240" w:lineRule="auto"/>
        <w:rPr>
          <w:rFonts w:cstheme="minorHAnsi"/>
          <w:b/>
          <w:sz w:val="24"/>
        </w:rPr>
      </w:pPr>
    </w:p>
    <w:p w:rsidR="00E32DC5" w:rsidRPr="00850B54" w:rsidRDefault="00E32DC5" w:rsidP="00E32DC5">
      <w:pPr>
        <w:autoSpaceDE w:val="0"/>
        <w:autoSpaceDN w:val="0"/>
        <w:adjustRightInd w:val="0"/>
        <w:spacing w:after="0" w:line="240" w:lineRule="auto"/>
        <w:rPr>
          <w:rFonts w:cstheme="minorHAnsi"/>
          <w:b/>
          <w:sz w:val="24"/>
        </w:rPr>
      </w:pPr>
      <w:r w:rsidRPr="00850B54">
        <w:rPr>
          <w:rFonts w:cstheme="minorHAnsi"/>
          <w:b/>
          <w:sz w:val="24"/>
        </w:rPr>
        <w:t>Education and Training Boards (ETBs) responsibilities</w:t>
      </w:r>
      <w:r>
        <w:rPr>
          <w:rFonts w:cstheme="minorHAnsi"/>
          <w:b/>
          <w:sz w:val="24"/>
        </w:rPr>
        <w:t xml:space="preserve"> relating to service provision for young people</w:t>
      </w:r>
    </w:p>
    <w:p w:rsidR="00E32DC5" w:rsidRPr="00362B45" w:rsidRDefault="00E32DC5" w:rsidP="00E32DC5">
      <w:pPr>
        <w:spacing w:after="0" w:line="240" w:lineRule="auto"/>
        <w:rPr>
          <w:rFonts w:cstheme="minorHAnsi"/>
        </w:rPr>
      </w:pPr>
    </w:p>
    <w:p w:rsidR="00E32DC5" w:rsidRDefault="00E32DC5" w:rsidP="00E32DC5">
      <w:pPr>
        <w:spacing w:after="0" w:line="240" w:lineRule="auto"/>
        <w:rPr>
          <w:rFonts w:cstheme="minorHAnsi"/>
        </w:rPr>
      </w:pPr>
      <w:r w:rsidRPr="00850B54">
        <w:rPr>
          <w:rFonts w:cstheme="minorHAnsi"/>
        </w:rPr>
        <w:t>Educat</w:t>
      </w:r>
      <w:r>
        <w:rPr>
          <w:rFonts w:cstheme="minorHAnsi"/>
        </w:rPr>
        <w:t xml:space="preserve">ion and Training Boards (ETBs) have a role in the </w:t>
      </w:r>
      <w:r w:rsidRPr="00362B45">
        <w:rPr>
          <w:rFonts w:cstheme="minorHAnsi"/>
        </w:rPr>
        <w:t>development, impl</w:t>
      </w:r>
      <w:r>
        <w:rPr>
          <w:rFonts w:cstheme="minorHAnsi"/>
        </w:rPr>
        <w:t>ementation and strengthening of</w:t>
      </w:r>
      <w:r w:rsidRPr="00362B45">
        <w:rPr>
          <w:rFonts w:cstheme="minorHAnsi"/>
        </w:rPr>
        <w:t xml:space="preserve"> </w:t>
      </w:r>
      <w:r w:rsidRPr="00362B45">
        <w:rPr>
          <w:rFonts w:cstheme="minorHAnsi"/>
          <w:bCs/>
          <w:lang w:val="en-US"/>
        </w:rPr>
        <w:t>policy and service provision for children and young people, including youth work provision</w:t>
      </w:r>
      <w:r>
        <w:rPr>
          <w:rFonts w:cstheme="minorHAnsi"/>
          <w:bCs/>
          <w:lang w:val="en-US"/>
        </w:rPr>
        <w:t>,</w:t>
      </w:r>
      <w:r w:rsidRPr="00362B45">
        <w:rPr>
          <w:rFonts w:cstheme="minorHAnsi"/>
        </w:rPr>
        <w:t xml:space="preserve"> which will achieve better outcomes for children and young peo</w:t>
      </w:r>
      <w:r>
        <w:rPr>
          <w:rFonts w:cstheme="minorHAnsi"/>
        </w:rPr>
        <w:t xml:space="preserve">ple.  This is in line with the </w:t>
      </w:r>
      <w:r w:rsidRPr="00362B45">
        <w:rPr>
          <w:rFonts w:cstheme="minorHAnsi"/>
        </w:rPr>
        <w:t xml:space="preserve">statutory responsibility of the ETBs in matters of youth work policy implementation and additionally covers the ETB role in the broader policy objectives of DCYA as it relates to youth policy.  </w:t>
      </w:r>
    </w:p>
    <w:p w:rsidR="00E32DC5" w:rsidRDefault="00E32DC5" w:rsidP="00E32DC5">
      <w:pPr>
        <w:spacing w:after="0" w:line="240" w:lineRule="auto"/>
        <w:rPr>
          <w:rFonts w:cstheme="minorHAnsi"/>
        </w:rPr>
      </w:pPr>
    </w:p>
    <w:p w:rsidR="00E32DC5" w:rsidRPr="00850B54" w:rsidRDefault="00E32DC5" w:rsidP="00E32DC5">
      <w:pPr>
        <w:spacing w:after="0" w:line="240" w:lineRule="auto"/>
        <w:rPr>
          <w:rFonts w:cstheme="minorHAnsi"/>
        </w:rPr>
      </w:pPr>
      <w:r>
        <w:rPr>
          <w:rFonts w:cstheme="minorHAnsi"/>
        </w:rPr>
        <w:t>T</w:t>
      </w:r>
      <w:r w:rsidRPr="00850B54">
        <w:rPr>
          <w:rFonts w:cstheme="minorHAnsi"/>
        </w:rPr>
        <w:t xml:space="preserve">he Education and </w:t>
      </w:r>
      <w:r>
        <w:rPr>
          <w:rFonts w:cstheme="minorHAnsi"/>
        </w:rPr>
        <w:t>Training Boards Act, 2013</w:t>
      </w:r>
      <w:r w:rsidRPr="00850B54">
        <w:rPr>
          <w:rFonts w:cstheme="minorHAnsi"/>
        </w:rPr>
        <w:t xml:space="preserve"> states that the functions of ETBs with regard to youth work are to:</w:t>
      </w:r>
    </w:p>
    <w:p w:rsidR="00E32DC5" w:rsidRPr="00850B54" w:rsidRDefault="00E32DC5" w:rsidP="00E32DC5">
      <w:pPr>
        <w:spacing w:after="0" w:line="240" w:lineRule="auto"/>
        <w:ind w:left="360"/>
        <w:rPr>
          <w:rFonts w:cstheme="minorHAnsi"/>
        </w:rPr>
      </w:pPr>
    </w:p>
    <w:p w:rsidR="00E32DC5" w:rsidRPr="00180B25" w:rsidRDefault="00E32DC5" w:rsidP="00E32DC5">
      <w:pPr>
        <w:pStyle w:val="ListParagraph"/>
        <w:numPr>
          <w:ilvl w:val="0"/>
          <w:numId w:val="3"/>
        </w:numPr>
        <w:spacing w:after="0"/>
        <w:ind w:right="521"/>
        <w:rPr>
          <w:rFonts w:cstheme="minorHAnsi"/>
          <w:i/>
        </w:rPr>
      </w:pPr>
      <w:r w:rsidRPr="00180B25">
        <w:rPr>
          <w:rFonts w:cstheme="minorHAnsi"/>
          <w:i/>
        </w:rPr>
        <w:t xml:space="preserve">Support the </w:t>
      </w:r>
      <w:r w:rsidRPr="00180B25">
        <w:rPr>
          <w:rFonts w:cstheme="minorHAnsi"/>
          <w:b/>
          <w:i/>
        </w:rPr>
        <w:t>provision</w:t>
      </w:r>
      <w:r w:rsidRPr="00180B25">
        <w:rPr>
          <w:rFonts w:cstheme="minorHAnsi"/>
          <w:i/>
        </w:rPr>
        <w:t xml:space="preserve">, </w:t>
      </w:r>
      <w:r w:rsidRPr="00180B25">
        <w:rPr>
          <w:rFonts w:cstheme="minorHAnsi"/>
          <w:b/>
          <w:i/>
        </w:rPr>
        <w:t>coordination</w:t>
      </w:r>
      <w:r w:rsidRPr="00180B25">
        <w:rPr>
          <w:rFonts w:cstheme="minorHAnsi"/>
          <w:i/>
        </w:rPr>
        <w:t xml:space="preserve">, </w:t>
      </w:r>
      <w:r w:rsidRPr="00180B25">
        <w:rPr>
          <w:rFonts w:cstheme="minorHAnsi"/>
          <w:b/>
          <w:i/>
        </w:rPr>
        <w:t>administration</w:t>
      </w:r>
      <w:r w:rsidRPr="00180B25">
        <w:rPr>
          <w:rFonts w:cstheme="minorHAnsi"/>
          <w:i/>
        </w:rPr>
        <w:t xml:space="preserve"> and </w:t>
      </w:r>
      <w:r w:rsidRPr="00180B25">
        <w:rPr>
          <w:rFonts w:cstheme="minorHAnsi"/>
          <w:b/>
          <w:i/>
        </w:rPr>
        <w:t>assessment</w:t>
      </w:r>
      <w:r w:rsidRPr="00180B25">
        <w:rPr>
          <w:rFonts w:cstheme="minorHAnsi"/>
          <w:i/>
        </w:rPr>
        <w:t xml:space="preserve"> of youth work services in its functional area and provide such information as may be requested by the Minister for Children and Youth Affairs in relation to such support; and assess whether the manner in which it performs its functions is economical, efficient and effective.</w:t>
      </w:r>
    </w:p>
    <w:p w:rsidR="00E32DC5" w:rsidRPr="00850B54" w:rsidRDefault="00E32DC5" w:rsidP="00E32DC5">
      <w:pPr>
        <w:autoSpaceDE w:val="0"/>
        <w:autoSpaceDN w:val="0"/>
        <w:adjustRightInd w:val="0"/>
        <w:spacing w:after="0" w:line="240" w:lineRule="auto"/>
        <w:ind w:left="360"/>
        <w:rPr>
          <w:rFonts w:cstheme="minorHAnsi"/>
        </w:rPr>
      </w:pPr>
    </w:p>
    <w:p w:rsidR="00E32DC5" w:rsidRDefault="00E32DC5" w:rsidP="00E32DC5">
      <w:pPr>
        <w:autoSpaceDE w:val="0"/>
        <w:autoSpaceDN w:val="0"/>
        <w:adjustRightInd w:val="0"/>
        <w:spacing w:after="0" w:line="240" w:lineRule="auto"/>
        <w:rPr>
          <w:rFonts w:cstheme="minorHAnsi"/>
          <w:color w:val="000000"/>
        </w:rPr>
      </w:pPr>
      <w:r w:rsidRPr="00850B54">
        <w:rPr>
          <w:rFonts w:cstheme="minorHAnsi"/>
        </w:rPr>
        <w:t xml:space="preserve">The Education and Training Boards Act goes on to state (Section 10(6)) that “youth work” has the same meaning as it has in the Youth Work Act 2001. </w:t>
      </w:r>
      <w:r w:rsidRPr="00850B54">
        <w:rPr>
          <w:rFonts w:cstheme="minorHAnsi"/>
          <w:color w:val="000000"/>
        </w:rPr>
        <w:t>The quality of youth work carried out in each ETB area is supported through national quality standards initiatives.</w:t>
      </w:r>
    </w:p>
    <w:p w:rsidR="00E32DC5" w:rsidRDefault="00E32DC5" w:rsidP="00E32DC5">
      <w:pPr>
        <w:autoSpaceDE w:val="0"/>
        <w:autoSpaceDN w:val="0"/>
        <w:adjustRightInd w:val="0"/>
        <w:spacing w:after="0" w:line="240" w:lineRule="auto"/>
        <w:rPr>
          <w:sz w:val="24"/>
          <w:szCs w:val="24"/>
        </w:rPr>
      </w:pPr>
    </w:p>
    <w:p w:rsidR="00E32DC5" w:rsidRPr="00045598" w:rsidRDefault="00E32DC5" w:rsidP="00E32DC5">
      <w:pPr>
        <w:pStyle w:val="NoSpacing"/>
        <w:rPr>
          <w:b/>
          <w:sz w:val="24"/>
        </w:rPr>
      </w:pPr>
      <w:bookmarkStart w:id="1" w:name="_Toc467227088"/>
      <w:bookmarkStart w:id="2" w:name="_Toc472939419"/>
      <w:r w:rsidRPr="00045598">
        <w:rPr>
          <w:b/>
          <w:sz w:val="24"/>
        </w:rPr>
        <w:t>Role of Department of Children and Youth Affairs</w:t>
      </w:r>
      <w:bookmarkEnd w:id="1"/>
      <w:bookmarkEnd w:id="2"/>
    </w:p>
    <w:p w:rsidR="00E32DC5" w:rsidRPr="007F46C0" w:rsidRDefault="00E32DC5" w:rsidP="00E32DC5">
      <w:pPr>
        <w:pStyle w:val="NoSpacing"/>
      </w:pPr>
    </w:p>
    <w:p w:rsidR="00E32DC5" w:rsidRPr="00D82B6B" w:rsidRDefault="00E32DC5" w:rsidP="00E32DC5">
      <w:pPr>
        <w:autoSpaceDE w:val="0"/>
        <w:autoSpaceDN w:val="0"/>
        <w:adjustRightInd w:val="0"/>
        <w:spacing w:after="0"/>
        <w:rPr>
          <w:rFonts w:cstheme="minorHAnsi"/>
          <w:color w:val="000000"/>
        </w:rPr>
      </w:pPr>
      <w:r>
        <w:rPr>
          <w:rFonts w:cstheme="minorHAnsi"/>
          <w:color w:val="000000"/>
        </w:rPr>
        <w:t xml:space="preserve">The </w:t>
      </w:r>
      <w:r w:rsidRPr="00D82B6B">
        <w:rPr>
          <w:rFonts w:cstheme="minorHAnsi"/>
          <w:color w:val="000000"/>
        </w:rPr>
        <w:t>DCYA was established in June 2011</w:t>
      </w:r>
      <w:r>
        <w:rPr>
          <w:rFonts w:cstheme="minorHAnsi"/>
          <w:color w:val="000000"/>
        </w:rPr>
        <w:t xml:space="preserve"> and it </w:t>
      </w:r>
      <w:r w:rsidRPr="00D82B6B">
        <w:rPr>
          <w:rFonts w:cstheme="minorHAnsi"/>
          <w:color w:val="000000"/>
        </w:rPr>
        <w:t>is the principal Department to whom ETBs report in relation to their youth work function</w:t>
      </w:r>
      <w:r>
        <w:rPr>
          <w:rFonts w:cstheme="minorHAnsi"/>
          <w:color w:val="000000"/>
        </w:rPr>
        <w:t>s</w:t>
      </w:r>
      <w:r w:rsidRPr="00D82B6B">
        <w:rPr>
          <w:rFonts w:cstheme="minorHAnsi"/>
          <w:color w:val="000000"/>
        </w:rPr>
        <w:t>.  It has a mandate in relation to policy and service provision for children and young people. It comprises a number of interrelated strands, including the direct provision of universal and targeted services</w:t>
      </w:r>
      <w:r>
        <w:rPr>
          <w:rFonts w:cstheme="minorHAnsi"/>
          <w:color w:val="000000"/>
        </w:rPr>
        <w:t>,</w:t>
      </w:r>
      <w:r w:rsidRPr="00D82B6B">
        <w:rPr>
          <w:rFonts w:cstheme="minorHAnsi"/>
          <w:color w:val="000000"/>
        </w:rPr>
        <w:t xml:space="preserve"> and working to achieve the harmonisation of relevant policy and provision across Government </w:t>
      </w:r>
      <w:r>
        <w:rPr>
          <w:rFonts w:cstheme="minorHAnsi"/>
          <w:color w:val="000000"/>
        </w:rPr>
        <w:t>in order to</w:t>
      </w:r>
      <w:r w:rsidRPr="00D82B6B">
        <w:rPr>
          <w:rFonts w:cstheme="minorHAnsi"/>
          <w:color w:val="000000"/>
        </w:rPr>
        <w:t xml:space="preserve"> improve outcomes for child</w:t>
      </w:r>
      <w:r>
        <w:rPr>
          <w:rFonts w:cstheme="minorHAnsi"/>
          <w:color w:val="000000"/>
        </w:rPr>
        <w:t xml:space="preserve">ren, young people and families. </w:t>
      </w:r>
    </w:p>
    <w:p w:rsidR="00E32DC5" w:rsidRPr="00D82B6B" w:rsidRDefault="00E32DC5" w:rsidP="00E32DC5">
      <w:pPr>
        <w:autoSpaceDE w:val="0"/>
        <w:autoSpaceDN w:val="0"/>
        <w:adjustRightInd w:val="0"/>
        <w:spacing w:after="0"/>
        <w:rPr>
          <w:rFonts w:cstheme="minorHAnsi"/>
          <w:color w:val="000000"/>
        </w:rPr>
      </w:pPr>
    </w:p>
    <w:p w:rsidR="00E32DC5" w:rsidRPr="00D82B6B" w:rsidRDefault="00E32DC5" w:rsidP="00E32DC5">
      <w:pPr>
        <w:autoSpaceDE w:val="0"/>
        <w:autoSpaceDN w:val="0"/>
        <w:adjustRightInd w:val="0"/>
        <w:spacing w:after="0"/>
        <w:rPr>
          <w:rFonts w:cstheme="minorHAnsi"/>
          <w:color w:val="000000"/>
        </w:rPr>
      </w:pPr>
      <w:r w:rsidRPr="00D82B6B">
        <w:rPr>
          <w:rFonts w:cstheme="minorHAnsi"/>
          <w:color w:val="000000"/>
        </w:rPr>
        <w:t>The DCYA strategic and operational objectives are informed by the following</w:t>
      </w:r>
      <w:r>
        <w:rPr>
          <w:rFonts w:cstheme="minorHAnsi"/>
          <w:color w:val="000000"/>
        </w:rPr>
        <w:t>:</w:t>
      </w:r>
    </w:p>
    <w:p w:rsidR="00E32DC5" w:rsidRPr="007F46C0" w:rsidRDefault="00E32DC5" w:rsidP="00E32DC5">
      <w:pPr>
        <w:autoSpaceDE w:val="0"/>
        <w:autoSpaceDN w:val="0"/>
        <w:adjustRightInd w:val="0"/>
        <w:spacing w:after="0"/>
        <w:rPr>
          <w:rFonts w:cstheme="minorHAnsi"/>
          <w:color w:val="000000"/>
          <w:sz w:val="8"/>
        </w:rPr>
      </w:pPr>
    </w:p>
    <w:p w:rsidR="00E32DC5" w:rsidRPr="00D82B6B" w:rsidRDefault="00E32DC5" w:rsidP="00E32DC5">
      <w:pPr>
        <w:pStyle w:val="ListParagraph"/>
        <w:numPr>
          <w:ilvl w:val="0"/>
          <w:numId w:val="4"/>
        </w:numPr>
        <w:autoSpaceDE w:val="0"/>
        <w:autoSpaceDN w:val="0"/>
        <w:adjustRightInd w:val="0"/>
        <w:spacing w:after="0"/>
        <w:jc w:val="both"/>
        <w:rPr>
          <w:rFonts w:cstheme="minorHAnsi"/>
          <w:color w:val="000000"/>
        </w:rPr>
      </w:pPr>
      <w:r w:rsidRPr="007F46C0">
        <w:rPr>
          <w:rFonts w:cstheme="minorHAnsi"/>
          <w:b/>
          <w:color w:val="000000"/>
        </w:rPr>
        <w:t>Better Outcomes, Brighter Futures</w:t>
      </w:r>
      <w:r w:rsidRPr="00D82B6B">
        <w:rPr>
          <w:rFonts w:cstheme="minorHAnsi"/>
          <w:color w:val="000000"/>
        </w:rPr>
        <w:t xml:space="preserve"> – The national policy framework for children and young people, 2014-2020</w:t>
      </w:r>
    </w:p>
    <w:p w:rsidR="00E32DC5" w:rsidRPr="00D82B6B" w:rsidRDefault="00E32DC5" w:rsidP="00E32DC5">
      <w:pPr>
        <w:pStyle w:val="ListParagraph"/>
        <w:numPr>
          <w:ilvl w:val="0"/>
          <w:numId w:val="4"/>
        </w:numPr>
        <w:autoSpaceDE w:val="0"/>
        <w:autoSpaceDN w:val="0"/>
        <w:adjustRightInd w:val="0"/>
        <w:spacing w:after="0"/>
        <w:jc w:val="both"/>
        <w:rPr>
          <w:rFonts w:cstheme="minorHAnsi"/>
          <w:color w:val="000000"/>
        </w:rPr>
      </w:pPr>
      <w:r w:rsidRPr="007F46C0">
        <w:rPr>
          <w:rFonts w:cstheme="minorHAnsi"/>
          <w:b/>
          <w:color w:val="000000"/>
        </w:rPr>
        <w:t>National Youth Strategy</w:t>
      </w:r>
      <w:r w:rsidRPr="00D82B6B">
        <w:rPr>
          <w:rFonts w:cstheme="minorHAnsi"/>
          <w:color w:val="000000"/>
        </w:rPr>
        <w:t>, 2015 – 2020</w:t>
      </w:r>
    </w:p>
    <w:p w:rsidR="00E32DC5" w:rsidRPr="00D82B6B" w:rsidRDefault="00E32DC5" w:rsidP="00E32DC5">
      <w:pPr>
        <w:pStyle w:val="ListParagraph"/>
        <w:numPr>
          <w:ilvl w:val="0"/>
          <w:numId w:val="4"/>
        </w:numPr>
        <w:autoSpaceDE w:val="0"/>
        <w:autoSpaceDN w:val="0"/>
        <w:adjustRightInd w:val="0"/>
        <w:spacing w:after="0"/>
        <w:jc w:val="both"/>
        <w:rPr>
          <w:rFonts w:cstheme="minorHAnsi"/>
          <w:color w:val="000000"/>
        </w:rPr>
      </w:pPr>
      <w:r w:rsidRPr="007F46C0">
        <w:rPr>
          <w:rFonts w:cstheme="minorHAnsi"/>
          <w:b/>
          <w:color w:val="000000"/>
        </w:rPr>
        <w:t>Recommendations of the Value for Money and Policy Review of Youth Programmes</w:t>
      </w:r>
      <w:r>
        <w:rPr>
          <w:rFonts w:cstheme="minorHAnsi"/>
          <w:color w:val="000000"/>
        </w:rPr>
        <w:t>, 2014 (VF</w:t>
      </w:r>
      <w:r w:rsidRPr="00D82B6B">
        <w:rPr>
          <w:rFonts w:cstheme="minorHAnsi"/>
          <w:color w:val="000000"/>
        </w:rPr>
        <w:t>MPR)</w:t>
      </w:r>
      <w:r>
        <w:rPr>
          <w:rFonts w:cstheme="minorHAnsi"/>
          <w:color w:val="000000"/>
        </w:rPr>
        <w:t xml:space="preserve"> – see below</w:t>
      </w:r>
    </w:p>
    <w:p w:rsidR="00E32DC5" w:rsidRPr="007F46C0" w:rsidRDefault="00E32DC5" w:rsidP="00E32DC5">
      <w:pPr>
        <w:pStyle w:val="ListParagraph"/>
        <w:numPr>
          <w:ilvl w:val="0"/>
          <w:numId w:val="4"/>
        </w:numPr>
        <w:autoSpaceDE w:val="0"/>
        <w:autoSpaceDN w:val="0"/>
        <w:adjustRightInd w:val="0"/>
        <w:spacing w:after="0"/>
        <w:jc w:val="both"/>
        <w:rPr>
          <w:rFonts w:cstheme="minorHAnsi"/>
          <w:color w:val="000000"/>
        </w:rPr>
      </w:pPr>
      <w:r w:rsidRPr="007F46C0">
        <w:rPr>
          <w:rFonts w:cstheme="minorHAnsi"/>
          <w:b/>
          <w:color w:val="000000"/>
        </w:rPr>
        <w:t>National Strategy on Children and Young People's Participation in Decision-making</w:t>
      </w:r>
      <w:r w:rsidRPr="00D82B6B">
        <w:rPr>
          <w:rFonts w:cstheme="minorHAnsi"/>
          <w:color w:val="000000"/>
        </w:rPr>
        <w:t>, 2015-2020</w:t>
      </w:r>
    </w:p>
    <w:p w:rsidR="00E32DC5" w:rsidRPr="00F31325" w:rsidRDefault="00E32DC5" w:rsidP="00E32DC5">
      <w:pPr>
        <w:pStyle w:val="ListParagraph"/>
        <w:numPr>
          <w:ilvl w:val="0"/>
          <w:numId w:val="4"/>
        </w:numPr>
        <w:autoSpaceDE w:val="0"/>
        <w:autoSpaceDN w:val="0"/>
        <w:adjustRightInd w:val="0"/>
        <w:spacing w:after="0"/>
        <w:jc w:val="both"/>
        <w:rPr>
          <w:rFonts w:cstheme="minorHAnsi"/>
          <w:color w:val="000000"/>
        </w:rPr>
      </w:pPr>
      <w:r w:rsidRPr="007F46C0">
        <w:rPr>
          <w:rFonts w:cstheme="minorHAnsi"/>
          <w:b/>
          <w:color w:val="000000"/>
        </w:rPr>
        <w:t>National Quality Standards Initiatives</w:t>
      </w:r>
      <w:r w:rsidRPr="00D82B6B">
        <w:rPr>
          <w:rFonts w:cstheme="minorHAnsi"/>
          <w:color w:val="000000"/>
        </w:rPr>
        <w:t xml:space="preserve"> (National Quality Standards Framework for the Youth Work Sector / National Quality Standards for Volunteer-led Youth groups).</w:t>
      </w:r>
    </w:p>
    <w:p w:rsidR="00E32DC5" w:rsidRDefault="00E32DC5" w:rsidP="00E32DC5">
      <w:pPr>
        <w:pStyle w:val="ListParagraph"/>
        <w:numPr>
          <w:ilvl w:val="0"/>
          <w:numId w:val="4"/>
        </w:numPr>
        <w:autoSpaceDE w:val="0"/>
        <w:autoSpaceDN w:val="0"/>
        <w:adjustRightInd w:val="0"/>
        <w:spacing w:after="0"/>
        <w:jc w:val="both"/>
        <w:rPr>
          <w:rFonts w:cstheme="minorHAnsi"/>
          <w:color w:val="000000"/>
        </w:rPr>
      </w:pPr>
      <w:r w:rsidRPr="007F46C0">
        <w:rPr>
          <w:rFonts w:cstheme="minorHAnsi"/>
          <w:b/>
          <w:color w:val="000000"/>
        </w:rPr>
        <w:t>Directives and circulars</w:t>
      </w:r>
      <w:r w:rsidRPr="00D82B6B">
        <w:rPr>
          <w:rFonts w:cstheme="minorHAnsi"/>
          <w:color w:val="000000"/>
        </w:rPr>
        <w:t xml:space="preserve"> pertaining to public accounts procedures and by needs identified by ETBs locally.</w:t>
      </w:r>
    </w:p>
    <w:p w:rsidR="00E32DC5" w:rsidRPr="00DA7059" w:rsidRDefault="00E32DC5" w:rsidP="00E32DC5">
      <w:pPr>
        <w:autoSpaceDE w:val="0"/>
        <w:autoSpaceDN w:val="0"/>
        <w:adjustRightInd w:val="0"/>
        <w:spacing w:after="0" w:line="240" w:lineRule="auto"/>
        <w:rPr>
          <w:b/>
          <w:sz w:val="24"/>
        </w:rPr>
      </w:pPr>
      <w:r w:rsidRPr="00DA7059">
        <w:rPr>
          <w:b/>
          <w:sz w:val="24"/>
        </w:rPr>
        <w:t>The Value for Money and Polic</w:t>
      </w:r>
      <w:r>
        <w:rPr>
          <w:b/>
          <w:sz w:val="24"/>
        </w:rPr>
        <w:t>y Review of Youth Programmes (VF</w:t>
      </w:r>
      <w:r w:rsidRPr="00DA7059">
        <w:rPr>
          <w:b/>
          <w:sz w:val="24"/>
        </w:rPr>
        <w:t>MPR)</w:t>
      </w:r>
    </w:p>
    <w:p w:rsidR="00E32DC5" w:rsidRDefault="00E32DC5" w:rsidP="00E32DC5">
      <w:pPr>
        <w:autoSpaceDE w:val="0"/>
        <w:autoSpaceDN w:val="0"/>
        <w:adjustRightInd w:val="0"/>
        <w:spacing w:after="0" w:line="240" w:lineRule="auto"/>
      </w:pPr>
    </w:p>
    <w:p w:rsidR="00E32DC5" w:rsidRPr="00E52131" w:rsidRDefault="00E32DC5" w:rsidP="00E32DC5">
      <w:pPr>
        <w:autoSpaceDE w:val="0"/>
        <w:autoSpaceDN w:val="0"/>
        <w:adjustRightInd w:val="0"/>
        <w:spacing w:after="0" w:line="240" w:lineRule="auto"/>
      </w:pPr>
      <w:r w:rsidRPr="00E52131">
        <w:t>The Value for Money and Policy Review of Youth Progr</w:t>
      </w:r>
      <w:r>
        <w:t>ammes (VF</w:t>
      </w:r>
      <w:r w:rsidRPr="00E52131">
        <w:t>MPR) (DCYA, 2014b) involved an in-depth scrutiny of three major funding programmes that target disadvantaged young people and are administered by the DCYA. The three schemes</w:t>
      </w:r>
      <w:r>
        <w:t xml:space="preserve"> that were the subject of the VF</w:t>
      </w:r>
      <w:r w:rsidRPr="00E52131">
        <w:t>MPR are:</w:t>
      </w:r>
    </w:p>
    <w:p w:rsidR="00E32DC5" w:rsidRPr="00027BE0" w:rsidRDefault="00E32DC5" w:rsidP="00E32DC5">
      <w:pPr>
        <w:numPr>
          <w:ilvl w:val="0"/>
          <w:numId w:val="5"/>
        </w:numPr>
        <w:autoSpaceDE w:val="0"/>
        <w:autoSpaceDN w:val="0"/>
        <w:adjustRightInd w:val="0"/>
        <w:spacing w:after="0" w:line="240" w:lineRule="auto"/>
        <w:rPr>
          <w:i/>
        </w:rPr>
      </w:pPr>
      <w:r w:rsidRPr="00027BE0">
        <w:rPr>
          <w:i/>
        </w:rPr>
        <w:t>Special Projects for Youth (SPY)</w:t>
      </w:r>
    </w:p>
    <w:p w:rsidR="00E32DC5" w:rsidRPr="00027BE0" w:rsidRDefault="00E32DC5" w:rsidP="00E32DC5">
      <w:pPr>
        <w:numPr>
          <w:ilvl w:val="0"/>
          <w:numId w:val="5"/>
        </w:numPr>
        <w:autoSpaceDE w:val="0"/>
        <w:autoSpaceDN w:val="0"/>
        <w:adjustRightInd w:val="0"/>
        <w:spacing w:after="0" w:line="240" w:lineRule="auto"/>
        <w:rPr>
          <w:i/>
        </w:rPr>
      </w:pPr>
      <w:r w:rsidRPr="00027BE0">
        <w:rPr>
          <w:i/>
        </w:rPr>
        <w:t>Young People’s Facilities and Services Fund 1 and 2</w:t>
      </w:r>
      <w:r>
        <w:rPr>
          <w:i/>
        </w:rPr>
        <w:t xml:space="preserve"> (YP 1 &amp; 2)</w:t>
      </w:r>
    </w:p>
    <w:p w:rsidR="00E32DC5" w:rsidRPr="00027BE0" w:rsidRDefault="00E32DC5" w:rsidP="00E32DC5">
      <w:pPr>
        <w:numPr>
          <w:ilvl w:val="0"/>
          <w:numId w:val="5"/>
        </w:numPr>
        <w:autoSpaceDE w:val="0"/>
        <w:autoSpaceDN w:val="0"/>
        <w:adjustRightInd w:val="0"/>
        <w:spacing w:after="0" w:line="240" w:lineRule="auto"/>
        <w:rPr>
          <w:i/>
        </w:rPr>
      </w:pPr>
      <w:r>
        <w:rPr>
          <w:i/>
        </w:rPr>
        <w:t>Local Drugs Task Force Projects (LDTF)</w:t>
      </w:r>
    </w:p>
    <w:p w:rsidR="00E32DC5" w:rsidRPr="00E52131" w:rsidRDefault="00E32DC5" w:rsidP="00E32DC5">
      <w:pPr>
        <w:autoSpaceDE w:val="0"/>
        <w:autoSpaceDN w:val="0"/>
        <w:adjustRightInd w:val="0"/>
        <w:spacing w:after="0" w:line="240" w:lineRule="auto"/>
      </w:pPr>
    </w:p>
    <w:p w:rsidR="00E32DC5" w:rsidRDefault="00E32DC5" w:rsidP="00E32DC5">
      <w:pPr>
        <w:autoSpaceDE w:val="0"/>
        <w:autoSpaceDN w:val="0"/>
        <w:adjustRightInd w:val="0"/>
        <w:spacing w:after="0" w:line="240" w:lineRule="auto"/>
      </w:pPr>
      <w:r>
        <w:t>The review made</w:t>
      </w:r>
      <w:r w:rsidRPr="00E52131">
        <w:t xml:space="preserve"> recommendations for the future operation of the schemes and in relation to their future development to ensure effective, value for money services that are designed to secure the best outcomes for young people. In particular, it recommends that </w:t>
      </w:r>
      <w:r w:rsidRPr="00F31325">
        <w:rPr>
          <w:u w:val="single"/>
        </w:rPr>
        <w:t>one targeted scheme</w:t>
      </w:r>
      <w:r w:rsidRPr="00E52131">
        <w:t xml:space="preserve"> should rep</w:t>
      </w:r>
      <w:r>
        <w:t xml:space="preserve">lace the existing three schemes. A </w:t>
      </w:r>
      <w:r w:rsidRPr="00E52131">
        <w:t>focused literature review wa</w:t>
      </w:r>
      <w:r>
        <w:t>s commissioned, which identified</w:t>
      </w:r>
      <w:r w:rsidRPr="00E52131">
        <w:t xml:space="preserve"> </w:t>
      </w:r>
      <w:r w:rsidRPr="007D442A">
        <w:rPr>
          <w:b/>
        </w:rPr>
        <w:t>seven</w:t>
      </w:r>
      <w:r w:rsidR="007D442A" w:rsidRPr="007D442A">
        <w:rPr>
          <w:b/>
        </w:rPr>
        <w:t xml:space="preserve"> Social and Personal Development Outcomes</w:t>
      </w:r>
      <w:r w:rsidR="007D442A">
        <w:t xml:space="preserve"> t</w:t>
      </w:r>
      <w:r w:rsidRPr="00E52131">
        <w:t>hat have relev</w:t>
      </w:r>
      <w:r>
        <w:t>ance to DCYA policy objectives.</w:t>
      </w:r>
    </w:p>
    <w:p w:rsidR="007D442A" w:rsidRDefault="007D442A" w:rsidP="00E32DC5">
      <w:pPr>
        <w:autoSpaceDE w:val="0"/>
        <w:autoSpaceDN w:val="0"/>
        <w:adjustRightInd w:val="0"/>
        <w:spacing w:after="0" w:line="240" w:lineRule="auto"/>
      </w:pPr>
    </w:p>
    <w:p w:rsidR="007D442A" w:rsidRDefault="007D442A" w:rsidP="00E32DC5">
      <w:pPr>
        <w:autoSpaceDE w:val="0"/>
        <w:autoSpaceDN w:val="0"/>
        <w:adjustRightInd w:val="0"/>
        <w:spacing w:after="0" w:line="240" w:lineRule="auto"/>
      </w:pPr>
    </w:p>
    <w:p w:rsidR="007D442A" w:rsidRDefault="007D442A" w:rsidP="00E32DC5">
      <w:pPr>
        <w:autoSpaceDE w:val="0"/>
        <w:autoSpaceDN w:val="0"/>
        <w:adjustRightInd w:val="0"/>
        <w:spacing w:after="0" w:line="240" w:lineRule="auto"/>
      </w:pPr>
    </w:p>
    <w:p w:rsidR="007D442A" w:rsidRDefault="007D442A" w:rsidP="00E32DC5">
      <w:pPr>
        <w:autoSpaceDE w:val="0"/>
        <w:autoSpaceDN w:val="0"/>
        <w:adjustRightInd w:val="0"/>
        <w:spacing w:after="0" w:line="240" w:lineRule="auto"/>
      </w:pPr>
    </w:p>
    <w:tbl>
      <w:tblPr>
        <w:tblStyle w:val="ListTable4-Accent61"/>
        <w:tblW w:w="9356" w:type="dxa"/>
        <w:tblInd w:w="-142"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356"/>
      </w:tblGrid>
      <w:tr w:rsidR="00E32DC5" w:rsidRPr="00E52131" w:rsidTr="00A70F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shd w:val="clear" w:color="auto" w:fill="C00000"/>
          </w:tcPr>
          <w:p w:rsidR="00E32DC5" w:rsidRPr="00E52131" w:rsidRDefault="00E32DC5" w:rsidP="00A70FEE">
            <w:pPr>
              <w:autoSpaceDE w:val="0"/>
              <w:autoSpaceDN w:val="0"/>
              <w:adjustRightInd w:val="0"/>
              <w:jc w:val="left"/>
              <w:rPr>
                <w:rFonts w:eastAsiaTheme="minorHAnsi"/>
                <w:sz w:val="22"/>
                <w:szCs w:val="22"/>
              </w:rPr>
            </w:pPr>
            <w:r>
              <w:rPr>
                <w:rFonts w:eastAsiaTheme="minorHAnsi"/>
                <w:sz w:val="22"/>
                <w:szCs w:val="22"/>
              </w:rPr>
              <w:lastRenderedPageBreak/>
              <w:t xml:space="preserve">Social and Personal Development Outcomes </w:t>
            </w:r>
          </w:p>
        </w:tc>
      </w:tr>
      <w:tr w:rsidR="00E32DC5" w:rsidRPr="00E52131" w:rsidTr="00A70F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shd w:val="clear" w:color="auto" w:fill="DBE5F1" w:themeFill="accent1" w:themeFillTint="33"/>
          </w:tcPr>
          <w:p w:rsidR="00E32DC5" w:rsidRPr="00FD692D" w:rsidRDefault="00E32DC5" w:rsidP="00E32DC5">
            <w:pPr>
              <w:pStyle w:val="ListParagraph"/>
              <w:numPr>
                <w:ilvl w:val="0"/>
                <w:numId w:val="6"/>
              </w:numPr>
              <w:autoSpaceDE w:val="0"/>
              <w:autoSpaceDN w:val="0"/>
              <w:adjustRightInd w:val="0"/>
              <w:rPr>
                <w:rFonts w:eastAsiaTheme="minorHAnsi"/>
                <w:b w:val="0"/>
                <w:i/>
                <w:sz w:val="22"/>
              </w:rPr>
            </w:pPr>
            <w:r w:rsidRPr="00FD692D">
              <w:rPr>
                <w:rFonts w:eastAsiaTheme="minorHAnsi"/>
                <w:b w:val="0"/>
                <w:i/>
                <w:sz w:val="22"/>
              </w:rPr>
              <w:t>Communication skills</w:t>
            </w:r>
          </w:p>
          <w:p w:rsidR="00E32DC5" w:rsidRPr="00FD692D" w:rsidRDefault="00E32DC5" w:rsidP="00E32DC5">
            <w:pPr>
              <w:pStyle w:val="ListParagraph"/>
              <w:numPr>
                <w:ilvl w:val="0"/>
                <w:numId w:val="6"/>
              </w:numPr>
              <w:autoSpaceDE w:val="0"/>
              <w:autoSpaceDN w:val="0"/>
              <w:adjustRightInd w:val="0"/>
              <w:rPr>
                <w:rFonts w:eastAsiaTheme="minorHAnsi"/>
                <w:b w:val="0"/>
                <w:i/>
                <w:sz w:val="22"/>
              </w:rPr>
            </w:pPr>
            <w:r w:rsidRPr="00FD692D">
              <w:rPr>
                <w:rFonts w:eastAsiaTheme="minorHAnsi"/>
                <w:b w:val="0"/>
                <w:i/>
                <w:sz w:val="22"/>
              </w:rPr>
              <w:t>Confidence and agency</w:t>
            </w:r>
          </w:p>
          <w:p w:rsidR="00E32DC5" w:rsidRPr="00FD692D" w:rsidRDefault="00E32DC5" w:rsidP="00E32DC5">
            <w:pPr>
              <w:pStyle w:val="ListParagraph"/>
              <w:numPr>
                <w:ilvl w:val="0"/>
                <w:numId w:val="6"/>
              </w:numPr>
              <w:autoSpaceDE w:val="0"/>
              <w:autoSpaceDN w:val="0"/>
              <w:adjustRightInd w:val="0"/>
              <w:rPr>
                <w:rFonts w:eastAsiaTheme="minorHAnsi"/>
                <w:b w:val="0"/>
                <w:i/>
                <w:sz w:val="22"/>
              </w:rPr>
            </w:pPr>
            <w:r w:rsidRPr="00FD692D">
              <w:rPr>
                <w:rFonts w:eastAsiaTheme="minorHAnsi"/>
                <w:b w:val="0"/>
                <w:i/>
                <w:sz w:val="22"/>
              </w:rPr>
              <w:t>Planning and problem-solving</w:t>
            </w:r>
          </w:p>
          <w:p w:rsidR="00E32DC5" w:rsidRPr="00FD692D" w:rsidRDefault="00E32DC5" w:rsidP="00E32DC5">
            <w:pPr>
              <w:pStyle w:val="ListParagraph"/>
              <w:numPr>
                <w:ilvl w:val="0"/>
                <w:numId w:val="6"/>
              </w:numPr>
              <w:autoSpaceDE w:val="0"/>
              <w:autoSpaceDN w:val="0"/>
              <w:adjustRightInd w:val="0"/>
              <w:rPr>
                <w:rFonts w:eastAsiaTheme="minorHAnsi"/>
                <w:b w:val="0"/>
                <w:i/>
                <w:sz w:val="22"/>
              </w:rPr>
            </w:pPr>
            <w:r w:rsidRPr="00FD692D">
              <w:rPr>
                <w:rFonts w:eastAsiaTheme="minorHAnsi"/>
                <w:b w:val="0"/>
                <w:i/>
                <w:sz w:val="22"/>
              </w:rPr>
              <w:t>Relationships</w:t>
            </w:r>
          </w:p>
          <w:p w:rsidR="00E32DC5" w:rsidRPr="00FD692D" w:rsidRDefault="00E32DC5" w:rsidP="00E32DC5">
            <w:pPr>
              <w:pStyle w:val="ListParagraph"/>
              <w:numPr>
                <w:ilvl w:val="0"/>
                <w:numId w:val="6"/>
              </w:numPr>
              <w:autoSpaceDE w:val="0"/>
              <w:autoSpaceDN w:val="0"/>
              <w:adjustRightInd w:val="0"/>
              <w:rPr>
                <w:rFonts w:eastAsiaTheme="minorHAnsi"/>
                <w:b w:val="0"/>
                <w:i/>
                <w:sz w:val="22"/>
              </w:rPr>
            </w:pPr>
            <w:r w:rsidRPr="00FD692D">
              <w:rPr>
                <w:rFonts w:eastAsiaTheme="minorHAnsi"/>
                <w:b w:val="0"/>
                <w:i/>
                <w:sz w:val="22"/>
              </w:rPr>
              <w:t>Creativity and imagination</w:t>
            </w:r>
          </w:p>
          <w:p w:rsidR="00E32DC5" w:rsidRPr="00FD692D" w:rsidRDefault="00E32DC5" w:rsidP="00E32DC5">
            <w:pPr>
              <w:pStyle w:val="ListParagraph"/>
              <w:numPr>
                <w:ilvl w:val="0"/>
                <w:numId w:val="6"/>
              </w:numPr>
              <w:autoSpaceDE w:val="0"/>
              <w:autoSpaceDN w:val="0"/>
              <w:adjustRightInd w:val="0"/>
              <w:rPr>
                <w:rFonts w:eastAsiaTheme="minorHAnsi"/>
                <w:b w:val="0"/>
                <w:i/>
                <w:sz w:val="22"/>
              </w:rPr>
            </w:pPr>
            <w:r w:rsidRPr="00FD692D">
              <w:rPr>
                <w:rFonts w:eastAsiaTheme="minorHAnsi"/>
                <w:b w:val="0"/>
                <w:i/>
                <w:sz w:val="22"/>
              </w:rPr>
              <w:t>Resilience and determination</w:t>
            </w:r>
          </w:p>
          <w:p w:rsidR="00E32DC5" w:rsidRPr="00FD692D" w:rsidRDefault="00E32DC5" w:rsidP="00E32DC5">
            <w:pPr>
              <w:pStyle w:val="ListParagraph"/>
              <w:numPr>
                <w:ilvl w:val="0"/>
                <w:numId w:val="6"/>
              </w:numPr>
              <w:autoSpaceDE w:val="0"/>
              <w:autoSpaceDN w:val="0"/>
              <w:adjustRightInd w:val="0"/>
              <w:rPr>
                <w:rFonts w:eastAsiaTheme="minorHAnsi"/>
              </w:rPr>
            </w:pPr>
            <w:r w:rsidRPr="00FD692D">
              <w:rPr>
                <w:rFonts w:eastAsiaTheme="minorHAnsi"/>
                <w:b w:val="0"/>
                <w:i/>
                <w:sz w:val="22"/>
              </w:rPr>
              <w:t>Emotional intelligence</w:t>
            </w:r>
          </w:p>
        </w:tc>
      </w:tr>
    </w:tbl>
    <w:p w:rsidR="00781E30" w:rsidRDefault="00781E30">
      <w:pPr>
        <w:rPr>
          <w:sz w:val="24"/>
          <w:szCs w:val="24"/>
        </w:rPr>
      </w:pPr>
    </w:p>
    <w:p w:rsidR="00E32DC5" w:rsidRDefault="00E32DC5">
      <w:pPr>
        <w:rPr>
          <w:sz w:val="24"/>
          <w:szCs w:val="24"/>
        </w:rPr>
      </w:pPr>
    </w:p>
    <w:p w:rsidR="00E32DC5" w:rsidRPr="007D442A" w:rsidRDefault="00E32DC5" w:rsidP="007D442A">
      <w:pPr>
        <w:pStyle w:val="ListParagraph"/>
        <w:numPr>
          <w:ilvl w:val="0"/>
          <w:numId w:val="27"/>
        </w:numPr>
        <w:autoSpaceDE w:val="0"/>
        <w:autoSpaceDN w:val="0"/>
        <w:adjustRightInd w:val="0"/>
        <w:spacing w:after="0" w:line="240" w:lineRule="auto"/>
        <w:rPr>
          <w:b/>
          <w:sz w:val="28"/>
        </w:rPr>
      </w:pPr>
      <w:r w:rsidRPr="007D442A">
        <w:rPr>
          <w:b/>
          <w:sz w:val="28"/>
        </w:rPr>
        <w:t xml:space="preserve">The </w:t>
      </w:r>
      <w:r w:rsidR="003B0859" w:rsidRPr="007D442A">
        <w:rPr>
          <w:b/>
          <w:sz w:val="28"/>
        </w:rPr>
        <w:t xml:space="preserve">Revised Youth Funding Scheme </w:t>
      </w:r>
      <w:r w:rsidRPr="007D442A">
        <w:rPr>
          <w:b/>
          <w:sz w:val="28"/>
        </w:rPr>
        <w:t xml:space="preserve"> </w:t>
      </w:r>
    </w:p>
    <w:p w:rsidR="007D442A" w:rsidRDefault="007D442A" w:rsidP="007D442A">
      <w:pPr>
        <w:autoSpaceDE w:val="0"/>
        <w:autoSpaceDN w:val="0"/>
        <w:adjustRightInd w:val="0"/>
        <w:spacing w:after="0" w:line="240" w:lineRule="auto"/>
      </w:pPr>
    </w:p>
    <w:p w:rsidR="007D442A" w:rsidRPr="00E32DC5" w:rsidRDefault="007D442A" w:rsidP="007D442A">
      <w:pPr>
        <w:pStyle w:val="BodyText"/>
        <w:rPr>
          <w:sz w:val="24"/>
          <w:szCs w:val="24"/>
        </w:rPr>
      </w:pPr>
      <w:r>
        <w:rPr>
          <w:sz w:val="24"/>
          <w:szCs w:val="24"/>
        </w:rPr>
        <w:t xml:space="preserve">LCETB is now seeking one </w:t>
      </w:r>
      <w:r w:rsidRPr="00E32DC5">
        <w:rPr>
          <w:sz w:val="24"/>
          <w:szCs w:val="24"/>
        </w:rPr>
        <w:t xml:space="preserve">organisation to deliver an Integrated Youth Service to young people based in </w:t>
      </w:r>
      <w:r w:rsidRPr="00E32DC5">
        <w:rPr>
          <w:b/>
          <w:sz w:val="24"/>
          <w:szCs w:val="24"/>
          <w:u w:val="single"/>
        </w:rPr>
        <w:t>Garryowen, Limerick City</w:t>
      </w:r>
      <w:r w:rsidRPr="00E32DC5">
        <w:rPr>
          <w:sz w:val="24"/>
          <w:szCs w:val="24"/>
        </w:rPr>
        <w:t xml:space="preserve"> in line with the new</w:t>
      </w:r>
      <w:r>
        <w:rPr>
          <w:sz w:val="24"/>
          <w:szCs w:val="24"/>
        </w:rPr>
        <w:t xml:space="preserve"> </w:t>
      </w:r>
      <w:r w:rsidRPr="007D442A">
        <w:rPr>
          <w:b/>
          <w:sz w:val="24"/>
          <w:szCs w:val="24"/>
        </w:rPr>
        <w:t xml:space="preserve">Revised Youth </w:t>
      </w:r>
      <w:r w:rsidR="00750023" w:rsidRPr="007D442A">
        <w:rPr>
          <w:b/>
          <w:sz w:val="24"/>
          <w:szCs w:val="24"/>
        </w:rPr>
        <w:t>Funding Scheme</w:t>
      </w:r>
      <w:r w:rsidRPr="00E32DC5">
        <w:rPr>
          <w:sz w:val="24"/>
          <w:szCs w:val="24"/>
        </w:rPr>
        <w:t xml:space="preserve"> from the Department of Children and Youth Affairs (DCYA). </w:t>
      </w:r>
    </w:p>
    <w:p w:rsidR="007D442A" w:rsidRDefault="007D442A" w:rsidP="007D442A">
      <w:pPr>
        <w:autoSpaceDE w:val="0"/>
        <w:autoSpaceDN w:val="0"/>
        <w:adjustRightInd w:val="0"/>
        <w:spacing w:after="0" w:line="240" w:lineRule="auto"/>
      </w:pPr>
    </w:p>
    <w:p w:rsidR="00E32DC5" w:rsidRPr="00397775" w:rsidRDefault="00E32DC5" w:rsidP="00E32DC5">
      <w:pPr>
        <w:pStyle w:val="BodyText"/>
      </w:pPr>
      <w:r w:rsidRPr="00397775">
        <w:t>The approach offered by the successful organisation must have at its core the following elements:</w:t>
      </w:r>
    </w:p>
    <w:p w:rsidR="00E32DC5" w:rsidRDefault="00E32DC5" w:rsidP="00E32DC5">
      <w:pPr>
        <w:pStyle w:val="ListParagraph"/>
        <w:numPr>
          <w:ilvl w:val="0"/>
          <w:numId w:val="7"/>
        </w:numPr>
        <w:spacing w:after="0"/>
        <w:rPr>
          <w:rFonts w:eastAsiaTheme="minorEastAsia"/>
          <w:i/>
          <w:szCs w:val="20"/>
        </w:rPr>
      </w:pPr>
      <w:r w:rsidRPr="00397775">
        <w:rPr>
          <w:rFonts w:eastAsiaTheme="minorEastAsia"/>
          <w:i/>
          <w:szCs w:val="20"/>
        </w:rPr>
        <w:t>A non-formal educational methodolog</w:t>
      </w:r>
      <w:r>
        <w:rPr>
          <w:rFonts w:eastAsiaTheme="minorEastAsia"/>
          <w:i/>
          <w:szCs w:val="20"/>
        </w:rPr>
        <w:t>ies</w:t>
      </w:r>
    </w:p>
    <w:p w:rsidR="00E32DC5" w:rsidRPr="00B627D2" w:rsidRDefault="00E32DC5" w:rsidP="00E32DC5">
      <w:pPr>
        <w:pStyle w:val="ListParagraph"/>
        <w:spacing w:after="0"/>
        <w:rPr>
          <w:rFonts w:eastAsiaTheme="minorEastAsia"/>
          <w:i/>
          <w:sz w:val="6"/>
          <w:szCs w:val="20"/>
        </w:rPr>
      </w:pPr>
    </w:p>
    <w:p w:rsidR="00E32DC5" w:rsidRPr="00397775" w:rsidRDefault="00E32DC5" w:rsidP="00E32DC5">
      <w:pPr>
        <w:pStyle w:val="ListParagraph"/>
        <w:numPr>
          <w:ilvl w:val="0"/>
          <w:numId w:val="7"/>
        </w:numPr>
        <w:spacing w:after="0"/>
        <w:rPr>
          <w:rFonts w:eastAsiaTheme="minorEastAsia"/>
          <w:i/>
          <w:szCs w:val="20"/>
        </w:rPr>
      </w:pPr>
      <w:r w:rsidRPr="00397775">
        <w:rPr>
          <w:rFonts w:eastAsiaTheme="minorEastAsia"/>
          <w:i/>
          <w:szCs w:val="20"/>
        </w:rPr>
        <w:t xml:space="preserve">Operate in an out-of-school setting – </w:t>
      </w:r>
      <w:r>
        <w:rPr>
          <w:rFonts w:eastAsiaTheme="minorEastAsia"/>
          <w:i/>
          <w:szCs w:val="20"/>
        </w:rPr>
        <w:t>primarily delivered during evenings and night times / weekends / bank holidays /</w:t>
      </w:r>
      <w:r w:rsidRPr="00397775">
        <w:rPr>
          <w:rFonts w:eastAsiaTheme="minorEastAsia"/>
          <w:i/>
          <w:szCs w:val="20"/>
        </w:rPr>
        <w:t xml:space="preserve"> school holidays</w:t>
      </w:r>
    </w:p>
    <w:p w:rsidR="00E32DC5" w:rsidRPr="00B627D2" w:rsidRDefault="00E32DC5" w:rsidP="00E32DC5">
      <w:pPr>
        <w:pStyle w:val="ListParagraph"/>
        <w:spacing w:after="0"/>
        <w:rPr>
          <w:rFonts w:eastAsiaTheme="minorEastAsia"/>
          <w:i/>
          <w:sz w:val="6"/>
          <w:szCs w:val="20"/>
        </w:rPr>
      </w:pPr>
    </w:p>
    <w:p w:rsidR="00E32DC5" w:rsidRDefault="00E32DC5" w:rsidP="00E32DC5">
      <w:pPr>
        <w:pStyle w:val="ListParagraph"/>
        <w:numPr>
          <w:ilvl w:val="0"/>
          <w:numId w:val="7"/>
        </w:numPr>
        <w:spacing w:after="0" w:line="240" w:lineRule="auto"/>
        <w:rPr>
          <w:rFonts w:eastAsiaTheme="minorEastAsia"/>
          <w:i/>
          <w:szCs w:val="20"/>
        </w:rPr>
      </w:pPr>
      <w:r w:rsidRPr="00A4497F">
        <w:rPr>
          <w:rFonts w:eastAsiaTheme="minorEastAsia"/>
          <w:i/>
          <w:szCs w:val="20"/>
        </w:rPr>
        <w:t>Use a mixture of on-site (e.g. centre-based</w:t>
      </w:r>
      <w:r w:rsidR="007D442A">
        <w:rPr>
          <w:rFonts w:eastAsiaTheme="minorEastAsia"/>
          <w:i/>
          <w:szCs w:val="20"/>
        </w:rPr>
        <w:t xml:space="preserve"> when acquired </w:t>
      </w:r>
      <w:r w:rsidRPr="00A4497F">
        <w:rPr>
          <w:rFonts w:eastAsiaTheme="minorEastAsia"/>
          <w:i/>
          <w:szCs w:val="20"/>
        </w:rPr>
        <w:t xml:space="preserve">) and off-site </w:t>
      </w:r>
      <w:r>
        <w:rPr>
          <w:rFonts w:eastAsiaTheme="minorEastAsia"/>
          <w:i/>
          <w:szCs w:val="20"/>
        </w:rPr>
        <w:t xml:space="preserve">locations </w:t>
      </w:r>
    </w:p>
    <w:p w:rsidR="00E32DC5" w:rsidRPr="00A4497F" w:rsidRDefault="00E32DC5" w:rsidP="00E32DC5">
      <w:pPr>
        <w:pStyle w:val="ListParagraph"/>
        <w:spacing w:after="0"/>
        <w:rPr>
          <w:rFonts w:eastAsiaTheme="minorEastAsia"/>
          <w:i/>
          <w:sz w:val="6"/>
          <w:szCs w:val="6"/>
        </w:rPr>
      </w:pPr>
    </w:p>
    <w:p w:rsidR="00E32DC5" w:rsidRPr="00AC00C1" w:rsidRDefault="00E32DC5" w:rsidP="00E32DC5">
      <w:pPr>
        <w:spacing w:after="0" w:line="240" w:lineRule="auto"/>
        <w:rPr>
          <w:rFonts w:eastAsiaTheme="minorEastAsia"/>
          <w:i/>
          <w:sz w:val="6"/>
          <w:szCs w:val="6"/>
        </w:rPr>
      </w:pPr>
    </w:p>
    <w:p w:rsidR="00E32DC5" w:rsidRPr="00A4497F" w:rsidRDefault="00E32DC5" w:rsidP="00E32DC5">
      <w:pPr>
        <w:spacing w:after="0" w:line="240" w:lineRule="auto"/>
        <w:rPr>
          <w:rFonts w:eastAsiaTheme="minorEastAsia"/>
          <w:sz w:val="6"/>
          <w:szCs w:val="6"/>
        </w:rPr>
      </w:pPr>
    </w:p>
    <w:p w:rsidR="00E32DC5" w:rsidRDefault="00E32DC5" w:rsidP="00E32DC5">
      <w:pPr>
        <w:pStyle w:val="ListParagraph"/>
        <w:numPr>
          <w:ilvl w:val="0"/>
          <w:numId w:val="7"/>
        </w:numPr>
        <w:spacing w:after="0"/>
        <w:rPr>
          <w:rFonts w:eastAsiaTheme="minorEastAsia"/>
          <w:i/>
          <w:szCs w:val="20"/>
        </w:rPr>
      </w:pPr>
      <w:r w:rsidRPr="00447694">
        <w:rPr>
          <w:rFonts w:eastAsiaTheme="minorEastAsia"/>
          <w:i/>
          <w:szCs w:val="20"/>
        </w:rPr>
        <w:t xml:space="preserve">A well-articulated and clearly understood theoretical base </w:t>
      </w:r>
      <w:r>
        <w:rPr>
          <w:rFonts w:eastAsiaTheme="minorEastAsia"/>
          <w:i/>
          <w:szCs w:val="20"/>
        </w:rPr>
        <w:t xml:space="preserve">upon which all </w:t>
      </w:r>
      <w:r w:rsidRPr="00447694">
        <w:rPr>
          <w:rFonts w:eastAsiaTheme="minorEastAsia"/>
          <w:i/>
          <w:szCs w:val="20"/>
        </w:rPr>
        <w:t>work is based</w:t>
      </w:r>
      <w:r>
        <w:rPr>
          <w:rFonts w:eastAsiaTheme="minorEastAsia"/>
          <w:i/>
          <w:szCs w:val="20"/>
        </w:rPr>
        <w:t xml:space="preserve"> –clear on </w:t>
      </w:r>
      <w:r w:rsidRPr="00447694">
        <w:rPr>
          <w:rFonts w:eastAsiaTheme="minorEastAsia"/>
          <w:i/>
          <w:szCs w:val="20"/>
        </w:rPr>
        <w:t>vision, values, concepts and methodologies. The organisation must demonstrate an understanding of</w:t>
      </w:r>
    </w:p>
    <w:p w:rsidR="00E32DC5" w:rsidRPr="00447694" w:rsidRDefault="00E32DC5" w:rsidP="00E32DC5">
      <w:pPr>
        <w:pStyle w:val="ListParagraph"/>
        <w:spacing w:after="0"/>
        <w:rPr>
          <w:rFonts w:eastAsiaTheme="minorEastAsia"/>
          <w:i/>
          <w:sz w:val="8"/>
          <w:szCs w:val="20"/>
        </w:rPr>
      </w:pPr>
    </w:p>
    <w:p w:rsidR="00E32DC5" w:rsidRDefault="00E32DC5" w:rsidP="00E32DC5">
      <w:pPr>
        <w:pStyle w:val="ListParagraph"/>
        <w:numPr>
          <w:ilvl w:val="1"/>
          <w:numId w:val="7"/>
        </w:numPr>
        <w:spacing w:after="0"/>
        <w:rPr>
          <w:rFonts w:eastAsiaTheme="minorEastAsia"/>
          <w:i/>
          <w:szCs w:val="20"/>
        </w:rPr>
      </w:pPr>
      <w:r w:rsidRPr="00447694">
        <w:rPr>
          <w:rFonts w:eastAsiaTheme="minorEastAsia"/>
          <w:i/>
          <w:szCs w:val="20"/>
        </w:rPr>
        <w:t xml:space="preserve">adolescent psychology </w:t>
      </w:r>
      <w:r>
        <w:rPr>
          <w:rFonts w:eastAsiaTheme="minorEastAsia"/>
          <w:i/>
          <w:szCs w:val="20"/>
        </w:rPr>
        <w:t>and the world of</w:t>
      </w:r>
      <w:r w:rsidRPr="00397775">
        <w:rPr>
          <w:rFonts w:eastAsiaTheme="minorEastAsia"/>
          <w:i/>
          <w:szCs w:val="20"/>
        </w:rPr>
        <w:t xml:space="preserve"> teenagers and young adult</w:t>
      </w:r>
      <w:r>
        <w:rPr>
          <w:rFonts w:eastAsiaTheme="minorEastAsia"/>
          <w:i/>
          <w:szCs w:val="20"/>
        </w:rPr>
        <w:t>s</w:t>
      </w:r>
    </w:p>
    <w:p w:rsidR="00E32DC5" w:rsidRDefault="00E32DC5" w:rsidP="00E32DC5">
      <w:pPr>
        <w:pStyle w:val="ListParagraph"/>
        <w:numPr>
          <w:ilvl w:val="1"/>
          <w:numId w:val="7"/>
        </w:numPr>
        <w:spacing w:after="0"/>
        <w:rPr>
          <w:rFonts w:eastAsiaTheme="minorEastAsia"/>
          <w:i/>
          <w:szCs w:val="20"/>
        </w:rPr>
      </w:pPr>
      <w:r w:rsidRPr="00447694">
        <w:rPr>
          <w:rFonts w:eastAsiaTheme="minorEastAsia"/>
          <w:i/>
          <w:szCs w:val="20"/>
        </w:rPr>
        <w:t>young people’s needs</w:t>
      </w:r>
      <w:r>
        <w:rPr>
          <w:rFonts w:eastAsiaTheme="minorEastAsia"/>
          <w:i/>
          <w:szCs w:val="20"/>
        </w:rPr>
        <w:t xml:space="preserve"> and the most effective means of assessment</w:t>
      </w:r>
    </w:p>
    <w:p w:rsidR="00E32DC5" w:rsidRDefault="00E32DC5" w:rsidP="00E32DC5">
      <w:pPr>
        <w:pStyle w:val="ListParagraph"/>
        <w:numPr>
          <w:ilvl w:val="1"/>
          <w:numId w:val="7"/>
        </w:numPr>
        <w:spacing w:after="0"/>
        <w:rPr>
          <w:rFonts w:eastAsiaTheme="minorEastAsia"/>
          <w:i/>
          <w:szCs w:val="20"/>
        </w:rPr>
      </w:pPr>
      <w:r>
        <w:rPr>
          <w:rFonts w:eastAsiaTheme="minorEastAsia"/>
          <w:i/>
          <w:szCs w:val="20"/>
        </w:rPr>
        <w:t>group work dynamics, group work theory</w:t>
      </w:r>
    </w:p>
    <w:p w:rsidR="00E32DC5" w:rsidRDefault="00E32DC5" w:rsidP="00E32DC5">
      <w:pPr>
        <w:pStyle w:val="ListParagraph"/>
        <w:numPr>
          <w:ilvl w:val="1"/>
          <w:numId w:val="7"/>
        </w:numPr>
        <w:spacing w:after="0"/>
        <w:rPr>
          <w:rFonts w:eastAsiaTheme="minorEastAsia"/>
          <w:i/>
          <w:szCs w:val="20"/>
        </w:rPr>
      </w:pPr>
      <w:r>
        <w:rPr>
          <w:rFonts w:eastAsiaTheme="minorEastAsia"/>
          <w:i/>
          <w:szCs w:val="20"/>
        </w:rPr>
        <w:t xml:space="preserve">social analysis and the wider context of young people’s lives i.e. the arenas of politics, power, access to decision making </w:t>
      </w:r>
      <w:r w:rsidR="00750023">
        <w:rPr>
          <w:rFonts w:eastAsiaTheme="minorEastAsia"/>
          <w:i/>
          <w:szCs w:val="20"/>
        </w:rPr>
        <w:t>etc.</w:t>
      </w:r>
    </w:p>
    <w:p w:rsidR="00E32DC5" w:rsidRDefault="00E32DC5" w:rsidP="00E32DC5">
      <w:pPr>
        <w:pStyle w:val="ListParagraph"/>
        <w:numPr>
          <w:ilvl w:val="1"/>
          <w:numId w:val="7"/>
        </w:numPr>
        <w:spacing w:after="0"/>
        <w:rPr>
          <w:rFonts w:eastAsiaTheme="minorEastAsia"/>
          <w:i/>
          <w:szCs w:val="20"/>
        </w:rPr>
      </w:pPr>
      <w:r>
        <w:rPr>
          <w:rFonts w:eastAsiaTheme="minorEastAsia"/>
          <w:i/>
          <w:szCs w:val="20"/>
        </w:rPr>
        <w:t>youth work theories and frameworks</w:t>
      </w:r>
    </w:p>
    <w:p w:rsidR="00E32DC5" w:rsidRPr="00B627D2" w:rsidRDefault="00E32DC5" w:rsidP="00E32DC5">
      <w:pPr>
        <w:pStyle w:val="ListParagraph"/>
        <w:spacing w:after="0"/>
        <w:ind w:left="1440"/>
        <w:rPr>
          <w:rFonts w:eastAsiaTheme="minorEastAsia"/>
          <w:i/>
          <w:sz w:val="6"/>
          <w:szCs w:val="6"/>
        </w:rPr>
      </w:pPr>
    </w:p>
    <w:p w:rsidR="00E32DC5" w:rsidRPr="00AC00C1" w:rsidRDefault="00E32DC5" w:rsidP="00E32DC5">
      <w:pPr>
        <w:pStyle w:val="ListParagraph"/>
        <w:spacing w:after="0"/>
        <w:rPr>
          <w:rFonts w:eastAsiaTheme="minorEastAsia"/>
          <w:i/>
          <w:sz w:val="6"/>
          <w:szCs w:val="6"/>
        </w:rPr>
      </w:pPr>
    </w:p>
    <w:p w:rsidR="00E32DC5" w:rsidRDefault="00E32DC5" w:rsidP="00E32DC5">
      <w:pPr>
        <w:pStyle w:val="ListParagraph"/>
        <w:numPr>
          <w:ilvl w:val="0"/>
          <w:numId w:val="7"/>
        </w:numPr>
        <w:spacing w:after="0"/>
        <w:rPr>
          <w:rFonts w:eastAsiaTheme="minorEastAsia"/>
          <w:i/>
          <w:szCs w:val="20"/>
        </w:rPr>
      </w:pPr>
      <w:r w:rsidRPr="00AC00C1">
        <w:rPr>
          <w:rFonts w:eastAsiaTheme="minorEastAsia"/>
          <w:i/>
          <w:szCs w:val="20"/>
        </w:rPr>
        <w:t xml:space="preserve">Measure service effectiveness against </w:t>
      </w:r>
      <w:r>
        <w:rPr>
          <w:rFonts w:eastAsiaTheme="minorEastAsia"/>
          <w:i/>
          <w:szCs w:val="20"/>
        </w:rPr>
        <w:t xml:space="preserve">the 7 </w:t>
      </w:r>
      <w:r w:rsidR="007D442A">
        <w:rPr>
          <w:rFonts w:eastAsiaTheme="minorEastAsia"/>
          <w:i/>
          <w:szCs w:val="20"/>
        </w:rPr>
        <w:t xml:space="preserve"> </w:t>
      </w:r>
      <w:r w:rsidRPr="00E32DC5">
        <w:rPr>
          <w:rFonts w:eastAsiaTheme="minorEastAsia"/>
          <w:i/>
          <w:szCs w:val="20"/>
        </w:rPr>
        <w:t>Social and P</w:t>
      </w:r>
      <w:r w:rsidR="007D442A">
        <w:rPr>
          <w:rFonts w:eastAsiaTheme="minorEastAsia"/>
          <w:i/>
          <w:szCs w:val="20"/>
        </w:rPr>
        <w:t xml:space="preserve">ersonal Development Outcome </w:t>
      </w:r>
      <w:r>
        <w:rPr>
          <w:rFonts w:eastAsiaTheme="minorEastAsia"/>
          <w:i/>
          <w:szCs w:val="20"/>
        </w:rPr>
        <w:t>of the VFM</w:t>
      </w:r>
      <w:r w:rsidRPr="00AC00C1">
        <w:rPr>
          <w:rFonts w:eastAsiaTheme="minorEastAsia"/>
          <w:i/>
          <w:szCs w:val="20"/>
        </w:rPr>
        <w:t xml:space="preserve"> </w:t>
      </w:r>
      <w:r>
        <w:rPr>
          <w:rFonts w:eastAsiaTheme="minorEastAsia"/>
          <w:i/>
          <w:szCs w:val="20"/>
        </w:rPr>
        <w:t xml:space="preserve">report </w:t>
      </w:r>
      <w:r w:rsidRPr="00AC00C1">
        <w:rPr>
          <w:rFonts w:eastAsiaTheme="minorEastAsia"/>
          <w:i/>
          <w:szCs w:val="20"/>
        </w:rPr>
        <w:t>and the 5 national outcomes of B</w:t>
      </w:r>
      <w:r>
        <w:rPr>
          <w:rFonts w:eastAsiaTheme="minorEastAsia"/>
          <w:i/>
          <w:szCs w:val="20"/>
        </w:rPr>
        <w:t>etter Outcomes, Brighter Futures policy</w:t>
      </w:r>
    </w:p>
    <w:p w:rsidR="00E32DC5" w:rsidRPr="00255875" w:rsidRDefault="00E32DC5" w:rsidP="00E32DC5">
      <w:pPr>
        <w:spacing w:after="0"/>
        <w:ind w:left="360"/>
        <w:rPr>
          <w:rFonts w:eastAsiaTheme="minorEastAsia"/>
          <w:i/>
          <w:szCs w:val="20"/>
        </w:rPr>
      </w:pPr>
    </w:p>
    <w:p w:rsidR="00E32DC5" w:rsidRPr="009B74B8" w:rsidRDefault="00E32DC5" w:rsidP="00E32DC5">
      <w:pPr>
        <w:pStyle w:val="ListParagraph"/>
        <w:numPr>
          <w:ilvl w:val="0"/>
          <w:numId w:val="7"/>
        </w:numPr>
        <w:spacing w:after="0"/>
        <w:rPr>
          <w:rFonts w:eastAsiaTheme="minorEastAsia"/>
          <w:szCs w:val="20"/>
        </w:rPr>
      </w:pPr>
      <w:r w:rsidRPr="00AC00C1">
        <w:rPr>
          <w:rFonts w:eastAsiaTheme="minorEastAsia"/>
          <w:i/>
          <w:szCs w:val="20"/>
        </w:rPr>
        <w:t xml:space="preserve">In conjunction with </w:t>
      </w:r>
      <w:r>
        <w:rPr>
          <w:rFonts w:eastAsiaTheme="minorEastAsia"/>
          <w:i/>
          <w:szCs w:val="20"/>
        </w:rPr>
        <w:t>LCETB , identification of</w:t>
      </w:r>
      <w:r w:rsidRPr="00AC00C1">
        <w:rPr>
          <w:rFonts w:eastAsiaTheme="minorEastAsia"/>
          <w:i/>
          <w:szCs w:val="20"/>
        </w:rPr>
        <w:t xml:space="preserve"> the area</w:t>
      </w:r>
      <w:r>
        <w:rPr>
          <w:rFonts w:eastAsiaTheme="minorEastAsia"/>
          <w:i/>
          <w:szCs w:val="20"/>
        </w:rPr>
        <w:t xml:space="preserve">s / young people at </w:t>
      </w:r>
      <w:r w:rsidRPr="00AC00C1">
        <w:rPr>
          <w:rFonts w:eastAsiaTheme="minorEastAsia"/>
          <w:b/>
          <w:i/>
          <w:szCs w:val="20"/>
        </w:rPr>
        <w:t>Level 2</w:t>
      </w:r>
      <w:r w:rsidRPr="00AC00C1">
        <w:rPr>
          <w:rFonts w:eastAsiaTheme="minorEastAsia"/>
          <w:i/>
          <w:szCs w:val="20"/>
        </w:rPr>
        <w:t xml:space="preserve"> </w:t>
      </w:r>
      <w:r>
        <w:rPr>
          <w:rFonts w:eastAsiaTheme="minorEastAsia"/>
          <w:i/>
          <w:szCs w:val="20"/>
        </w:rPr>
        <w:t xml:space="preserve">on the Hardiker Model </w:t>
      </w:r>
      <w:r w:rsidRPr="00AC00C1">
        <w:rPr>
          <w:rFonts w:eastAsiaTheme="minorEastAsia"/>
          <w:i/>
          <w:szCs w:val="20"/>
        </w:rPr>
        <w:t xml:space="preserve">who will receive </w:t>
      </w:r>
      <w:r w:rsidRPr="00AC00C1">
        <w:rPr>
          <w:rFonts w:eastAsiaTheme="minorEastAsia"/>
          <w:szCs w:val="20"/>
        </w:rPr>
        <w:t>‘80% of the service effort’</w:t>
      </w:r>
      <w:r w:rsidRPr="00AC00C1">
        <w:rPr>
          <w:rFonts w:eastAsiaTheme="minorEastAsia"/>
          <w:i/>
          <w:szCs w:val="20"/>
        </w:rPr>
        <w:t xml:space="preserve"> and the areas / young people at </w:t>
      </w:r>
      <w:r w:rsidRPr="00AC00C1">
        <w:rPr>
          <w:rFonts w:eastAsiaTheme="minorEastAsia"/>
          <w:b/>
          <w:i/>
          <w:szCs w:val="20"/>
        </w:rPr>
        <w:t>Level 1</w:t>
      </w:r>
      <w:r w:rsidRPr="00AC00C1">
        <w:rPr>
          <w:rFonts w:eastAsiaTheme="minorEastAsia"/>
          <w:i/>
          <w:szCs w:val="20"/>
        </w:rPr>
        <w:t xml:space="preserve"> </w:t>
      </w:r>
      <w:r>
        <w:rPr>
          <w:rFonts w:eastAsiaTheme="minorEastAsia"/>
          <w:i/>
          <w:szCs w:val="20"/>
        </w:rPr>
        <w:t xml:space="preserve">on the Hardiker Model </w:t>
      </w:r>
      <w:r w:rsidRPr="00AC00C1">
        <w:rPr>
          <w:rFonts w:eastAsiaTheme="minorEastAsia"/>
          <w:i/>
          <w:szCs w:val="20"/>
        </w:rPr>
        <w:t xml:space="preserve">who will receive </w:t>
      </w:r>
      <w:r w:rsidRPr="00AC00C1">
        <w:rPr>
          <w:rFonts w:eastAsiaTheme="minorEastAsia"/>
          <w:szCs w:val="20"/>
        </w:rPr>
        <w:t>‘20% of the service effort’</w:t>
      </w:r>
    </w:p>
    <w:p w:rsidR="00E32DC5" w:rsidRPr="00B066D7" w:rsidRDefault="00E32DC5" w:rsidP="00E32DC5">
      <w:pPr>
        <w:pStyle w:val="ListParagraph"/>
        <w:spacing w:after="0" w:line="240" w:lineRule="auto"/>
        <w:rPr>
          <w:rFonts w:eastAsiaTheme="minorEastAsia"/>
          <w:sz w:val="6"/>
          <w:szCs w:val="6"/>
        </w:rPr>
      </w:pPr>
    </w:p>
    <w:p w:rsidR="00E32DC5" w:rsidRDefault="00E32DC5" w:rsidP="00E32DC5">
      <w:pPr>
        <w:pStyle w:val="ListParagraph"/>
        <w:numPr>
          <w:ilvl w:val="0"/>
          <w:numId w:val="7"/>
        </w:numPr>
        <w:spacing w:after="0" w:line="240" w:lineRule="auto"/>
        <w:rPr>
          <w:rFonts w:eastAsiaTheme="minorEastAsia"/>
          <w:i/>
          <w:szCs w:val="20"/>
        </w:rPr>
      </w:pPr>
      <w:r w:rsidRPr="00B066D7">
        <w:rPr>
          <w:rFonts w:eastAsiaTheme="minorEastAsia"/>
          <w:i/>
          <w:szCs w:val="20"/>
        </w:rPr>
        <w:t>Active</w:t>
      </w:r>
      <w:r>
        <w:rPr>
          <w:rFonts w:eastAsiaTheme="minorEastAsia"/>
          <w:i/>
          <w:szCs w:val="20"/>
        </w:rPr>
        <w:t xml:space="preserve"> involvement of young people</w:t>
      </w:r>
      <w:r w:rsidRPr="00B066D7">
        <w:rPr>
          <w:rFonts w:eastAsiaTheme="minorEastAsia"/>
          <w:i/>
          <w:szCs w:val="20"/>
        </w:rPr>
        <w:t xml:space="preserve"> in the design of the service and full participation in decision making </w:t>
      </w:r>
      <w:r>
        <w:rPr>
          <w:rFonts w:eastAsiaTheme="minorEastAsia"/>
          <w:i/>
          <w:szCs w:val="20"/>
        </w:rPr>
        <w:t>structures</w:t>
      </w:r>
    </w:p>
    <w:p w:rsidR="00E32DC5" w:rsidRDefault="00E32DC5">
      <w:pPr>
        <w:rPr>
          <w:sz w:val="24"/>
          <w:szCs w:val="24"/>
        </w:rPr>
      </w:pPr>
    </w:p>
    <w:p w:rsidR="00E32DC5" w:rsidRPr="00255875" w:rsidRDefault="00E32DC5" w:rsidP="00E32DC5">
      <w:pPr>
        <w:pStyle w:val="BodyText"/>
        <w:numPr>
          <w:ilvl w:val="0"/>
          <w:numId w:val="10"/>
        </w:numPr>
        <w:ind w:left="0"/>
        <w:rPr>
          <w:b/>
        </w:rPr>
      </w:pPr>
      <w:r>
        <w:rPr>
          <w:b/>
        </w:rPr>
        <w:t xml:space="preserve">LCETB </w:t>
      </w:r>
      <w:r w:rsidRPr="00255875">
        <w:rPr>
          <w:b/>
        </w:rPr>
        <w:t>Social Analysis RE Young People’s Needs</w:t>
      </w:r>
    </w:p>
    <w:p w:rsidR="007D442A" w:rsidRPr="007D442A" w:rsidRDefault="007D442A" w:rsidP="007D442A">
      <w:pPr>
        <w:rPr>
          <w:sz w:val="24"/>
          <w:szCs w:val="24"/>
        </w:rPr>
      </w:pPr>
      <w:r w:rsidRPr="007D442A">
        <w:rPr>
          <w:sz w:val="24"/>
          <w:szCs w:val="24"/>
        </w:rPr>
        <w:t>Garryowen has been identified by statutory, community and Voluntary agencies as having very high levels of need but lower levels of resources than areas with similar levels of need.  There is not a significant community infra</w:t>
      </w:r>
      <w:r w:rsidR="00170213">
        <w:rPr>
          <w:sz w:val="24"/>
          <w:szCs w:val="24"/>
        </w:rPr>
        <w:t>structure in much of this area.</w:t>
      </w:r>
    </w:p>
    <w:p w:rsidR="007D442A" w:rsidRPr="007D442A" w:rsidRDefault="007D442A" w:rsidP="007D442A">
      <w:pPr>
        <w:rPr>
          <w:sz w:val="24"/>
          <w:szCs w:val="24"/>
        </w:rPr>
      </w:pPr>
      <w:r w:rsidRPr="007D442A">
        <w:rPr>
          <w:sz w:val="24"/>
          <w:szCs w:val="24"/>
        </w:rPr>
        <w:t>Limerick City has the highest rate of suicide in Ireland (National Suicide Research Foundation 2013 – 2015 Averages).    http://ww</w:t>
      </w:r>
      <w:r w:rsidR="00170213">
        <w:rPr>
          <w:sz w:val="24"/>
          <w:szCs w:val="24"/>
        </w:rPr>
        <w:t xml:space="preserve">w.nsrf.ie/statistics/suicide/  </w:t>
      </w:r>
    </w:p>
    <w:p w:rsidR="007D442A" w:rsidRPr="007D442A" w:rsidRDefault="007D442A" w:rsidP="007D442A">
      <w:pPr>
        <w:rPr>
          <w:sz w:val="24"/>
          <w:szCs w:val="24"/>
        </w:rPr>
      </w:pPr>
      <w:r w:rsidRPr="007D442A">
        <w:rPr>
          <w:sz w:val="24"/>
          <w:szCs w:val="24"/>
        </w:rPr>
        <w:t>The Garryowen area among others was recently included in an extensive quantitative and qualitative study of the experiences and needs of children and families in Limerick City (Humphreys et al., 2011).  This study found that children and families living in some of the most deprived areas of the city, including Garryowen, were experiencing a poorer quality of life, had poorer experiences of childhood, and had poorer outcomes across a range of indicators compared with children living in less soc</w:t>
      </w:r>
      <w:r w:rsidR="00170213">
        <w:rPr>
          <w:sz w:val="24"/>
          <w:szCs w:val="24"/>
        </w:rPr>
        <w:t xml:space="preserve">io-disadvantaged communities.  </w:t>
      </w:r>
    </w:p>
    <w:p w:rsidR="007D442A" w:rsidRPr="007D442A" w:rsidRDefault="007D442A" w:rsidP="007D442A">
      <w:pPr>
        <w:rPr>
          <w:sz w:val="24"/>
          <w:szCs w:val="24"/>
        </w:rPr>
      </w:pPr>
      <w:r w:rsidRPr="007D442A">
        <w:rPr>
          <w:sz w:val="24"/>
          <w:szCs w:val="24"/>
        </w:rPr>
        <w:t>For example, a scale used to measure emotional, conduct, and behavioural difficulties in children found that the proportion of children in the Northside Regeneration area (including the Moyross and the John’s A area of King's Island) was over four times greater than the rate in less socio-disadvantaged communities in the city.  The rate in Garryowen was also higher.  These rates are higher than the average rate recorded for nine year olds in the Grow</w:t>
      </w:r>
      <w:r w:rsidR="00170213">
        <w:rPr>
          <w:sz w:val="24"/>
          <w:szCs w:val="24"/>
        </w:rPr>
        <w:t>ing Up in Ireland study (2010).</w:t>
      </w:r>
    </w:p>
    <w:p w:rsidR="007D442A" w:rsidRPr="007D442A" w:rsidRDefault="007D442A" w:rsidP="007D442A">
      <w:pPr>
        <w:rPr>
          <w:sz w:val="24"/>
          <w:szCs w:val="24"/>
        </w:rPr>
      </w:pPr>
      <w:r w:rsidRPr="007D442A">
        <w:rPr>
          <w:sz w:val="24"/>
          <w:szCs w:val="24"/>
        </w:rPr>
        <w:t>The above profile of the target area clearly highlights the existence of many factors which increase the poverty and social exclusion risks for the children and young people in the area and their families, and indicates the need for Youth Work supports and intervention strategies for this particular geographical area.</w:t>
      </w:r>
    </w:p>
    <w:p w:rsidR="007D442A" w:rsidRPr="007D442A" w:rsidRDefault="007D442A" w:rsidP="007D442A">
      <w:pPr>
        <w:rPr>
          <w:sz w:val="24"/>
          <w:szCs w:val="24"/>
        </w:rPr>
      </w:pPr>
    </w:p>
    <w:p w:rsidR="007D442A" w:rsidRPr="007D442A" w:rsidRDefault="007D442A" w:rsidP="007D442A">
      <w:pPr>
        <w:rPr>
          <w:sz w:val="24"/>
          <w:szCs w:val="24"/>
        </w:rPr>
      </w:pPr>
      <w:r w:rsidRPr="007D442A">
        <w:rPr>
          <w:sz w:val="24"/>
          <w:szCs w:val="24"/>
        </w:rPr>
        <w:t xml:space="preserve">A number of key issues have been identified </w:t>
      </w:r>
      <w:r w:rsidR="00170213">
        <w:rPr>
          <w:sz w:val="24"/>
          <w:szCs w:val="24"/>
        </w:rPr>
        <w:t xml:space="preserve">by the Community, Voluntary and statutory partners </w:t>
      </w:r>
      <w:r w:rsidRPr="007D442A">
        <w:rPr>
          <w:sz w:val="24"/>
          <w:szCs w:val="24"/>
        </w:rPr>
        <w:t>over the past number of years including :</w:t>
      </w:r>
    </w:p>
    <w:p w:rsidR="007D442A" w:rsidRPr="007D442A" w:rsidRDefault="00170213" w:rsidP="007D442A">
      <w:pPr>
        <w:rPr>
          <w:sz w:val="24"/>
          <w:szCs w:val="24"/>
        </w:rPr>
      </w:pPr>
      <w:r>
        <w:rPr>
          <w:sz w:val="24"/>
          <w:szCs w:val="24"/>
        </w:rPr>
        <w:t xml:space="preserve">• </w:t>
      </w:r>
      <w:r w:rsidR="007D442A" w:rsidRPr="007D442A">
        <w:rPr>
          <w:sz w:val="24"/>
          <w:szCs w:val="24"/>
        </w:rPr>
        <w:t xml:space="preserve">Absence of a purpose built Community and Youth facility   - plans are currently being </w:t>
      </w:r>
      <w:r w:rsidR="00750023" w:rsidRPr="007D442A">
        <w:rPr>
          <w:sz w:val="24"/>
          <w:szCs w:val="24"/>
        </w:rPr>
        <w:t>discussed to</w:t>
      </w:r>
      <w:r w:rsidR="007D442A" w:rsidRPr="007D442A">
        <w:rPr>
          <w:sz w:val="24"/>
          <w:szCs w:val="24"/>
        </w:rPr>
        <w:t xml:space="preserve"> develop a community hub in the heart of the Garryowen community and this </w:t>
      </w:r>
      <w:r>
        <w:rPr>
          <w:sz w:val="24"/>
          <w:szCs w:val="24"/>
        </w:rPr>
        <w:t xml:space="preserve">Revised Youth Funding Scheme </w:t>
      </w:r>
      <w:r w:rsidR="007D442A" w:rsidRPr="007D442A">
        <w:rPr>
          <w:sz w:val="24"/>
          <w:szCs w:val="24"/>
        </w:rPr>
        <w:t xml:space="preserve">project would link closely with these future plans </w:t>
      </w:r>
    </w:p>
    <w:p w:rsidR="00D831A6" w:rsidRDefault="00170213" w:rsidP="007D442A">
      <w:pPr>
        <w:rPr>
          <w:sz w:val="24"/>
          <w:szCs w:val="24"/>
        </w:rPr>
      </w:pPr>
      <w:r>
        <w:rPr>
          <w:sz w:val="24"/>
          <w:szCs w:val="24"/>
        </w:rPr>
        <w:t xml:space="preserve">• </w:t>
      </w:r>
      <w:r w:rsidR="007D442A" w:rsidRPr="007D442A">
        <w:rPr>
          <w:sz w:val="24"/>
          <w:szCs w:val="24"/>
        </w:rPr>
        <w:t>Limited Youth Supports in the area –</w:t>
      </w:r>
    </w:p>
    <w:p w:rsidR="007D442A" w:rsidRPr="007D442A" w:rsidRDefault="00D831A6" w:rsidP="007D442A">
      <w:pPr>
        <w:rPr>
          <w:sz w:val="24"/>
          <w:szCs w:val="24"/>
        </w:rPr>
      </w:pPr>
      <w:r>
        <w:rPr>
          <w:sz w:val="24"/>
          <w:szCs w:val="24"/>
        </w:rPr>
        <w:t>•</w:t>
      </w:r>
      <w:r w:rsidR="007D442A" w:rsidRPr="007D442A">
        <w:rPr>
          <w:sz w:val="24"/>
          <w:szCs w:val="24"/>
        </w:rPr>
        <w:t>Early school leaving &amp; not attending school for periods of time – ad hoc schools attendance</w:t>
      </w:r>
    </w:p>
    <w:p w:rsidR="007D442A" w:rsidRPr="007D442A" w:rsidRDefault="007D442A" w:rsidP="007D442A">
      <w:pPr>
        <w:rPr>
          <w:sz w:val="24"/>
          <w:szCs w:val="24"/>
        </w:rPr>
      </w:pPr>
      <w:r w:rsidRPr="007D442A">
        <w:rPr>
          <w:sz w:val="24"/>
          <w:szCs w:val="24"/>
        </w:rPr>
        <w:lastRenderedPageBreak/>
        <w:t>•</w:t>
      </w:r>
      <w:r w:rsidRPr="007D442A">
        <w:rPr>
          <w:sz w:val="24"/>
          <w:szCs w:val="24"/>
        </w:rPr>
        <w:tab/>
        <w:t xml:space="preserve">Underage drinking/drug experimentation </w:t>
      </w:r>
    </w:p>
    <w:p w:rsidR="007D442A" w:rsidRPr="007D442A" w:rsidRDefault="007D442A" w:rsidP="007D442A">
      <w:pPr>
        <w:rPr>
          <w:sz w:val="24"/>
          <w:szCs w:val="24"/>
        </w:rPr>
      </w:pPr>
      <w:r w:rsidRPr="007D442A">
        <w:rPr>
          <w:sz w:val="24"/>
          <w:szCs w:val="24"/>
        </w:rPr>
        <w:t>•</w:t>
      </w:r>
      <w:r w:rsidRPr="007D442A">
        <w:rPr>
          <w:sz w:val="24"/>
          <w:szCs w:val="24"/>
        </w:rPr>
        <w:tab/>
        <w:t>Mental health of young people in the area</w:t>
      </w:r>
    </w:p>
    <w:p w:rsidR="007D442A" w:rsidRPr="007D442A" w:rsidRDefault="007D442A" w:rsidP="007D442A">
      <w:pPr>
        <w:rPr>
          <w:sz w:val="24"/>
          <w:szCs w:val="24"/>
        </w:rPr>
      </w:pPr>
      <w:r w:rsidRPr="007D442A">
        <w:rPr>
          <w:sz w:val="24"/>
          <w:szCs w:val="24"/>
        </w:rPr>
        <w:t>•</w:t>
      </w:r>
      <w:r w:rsidRPr="007D442A">
        <w:rPr>
          <w:sz w:val="24"/>
          <w:szCs w:val="24"/>
        </w:rPr>
        <w:tab/>
        <w:t xml:space="preserve">Increased number of referrals to social work teams </w:t>
      </w:r>
    </w:p>
    <w:p w:rsidR="007D442A" w:rsidRPr="007D442A" w:rsidRDefault="007D442A" w:rsidP="007D442A">
      <w:pPr>
        <w:rPr>
          <w:sz w:val="24"/>
          <w:szCs w:val="24"/>
        </w:rPr>
      </w:pPr>
      <w:r w:rsidRPr="007D442A">
        <w:rPr>
          <w:sz w:val="24"/>
          <w:szCs w:val="24"/>
        </w:rPr>
        <w:t>•</w:t>
      </w:r>
      <w:r w:rsidRPr="007D442A">
        <w:rPr>
          <w:sz w:val="24"/>
          <w:szCs w:val="24"/>
        </w:rPr>
        <w:tab/>
        <w:t>Involvement i</w:t>
      </w:r>
      <w:r w:rsidR="00D831A6">
        <w:rPr>
          <w:sz w:val="24"/>
          <w:szCs w:val="24"/>
        </w:rPr>
        <w:t xml:space="preserve">n criminality at a young age  </w:t>
      </w:r>
    </w:p>
    <w:p w:rsidR="00170213" w:rsidRPr="00170213" w:rsidRDefault="007D442A" w:rsidP="00170213">
      <w:pPr>
        <w:rPr>
          <w:sz w:val="24"/>
          <w:szCs w:val="24"/>
        </w:rPr>
      </w:pPr>
      <w:r w:rsidRPr="007D442A">
        <w:rPr>
          <w:sz w:val="24"/>
          <w:szCs w:val="24"/>
        </w:rPr>
        <w:t xml:space="preserve"> </w:t>
      </w:r>
      <w:r w:rsidR="00170213" w:rsidRPr="00170213">
        <w:rPr>
          <w:sz w:val="24"/>
          <w:szCs w:val="24"/>
        </w:rPr>
        <w:t>Young people in the Garryowen have experienced high levels of disadvantage over the last number of years; there are very limited services in the area to support young people who present with comp</w:t>
      </w:r>
      <w:r w:rsidR="00170213">
        <w:rPr>
          <w:sz w:val="24"/>
          <w:szCs w:val="24"/>
        </w:rPr>
        <w:t xml:space="preserve">lex and challenging behaviours </w:t>
      </w:r>
    </w:p>
    <w:p w:rsidR="00170213" w:rsidRPr="00170213" w:rsidRDefault="00170213" w:rsidP="00170213">
      <w:pPr>
        <w:rPr>
          <w:sz w:val="24"/>
          <w:szCs w:val="24"/>
        </w:rPr>
      </w:pPr>
      <w:r w:rsidRPr="00170213">
        <w:rPr>
          <w:sz w:val="24"/>
          <w:szCs w:val="24"/>
        </w:rPr>
        <w:t xml:space="preserve"> The expectation of the LCETB is the successful Youth project provider will specifically target Young people who have additional needs and are not accessing other services including: </w:t>
      </w:r>
    </w:p>
    <w:p w:rsidR="00170213" w:rsidRPr="00045598" w:rsidRDefault="00170213" w:rsidP="00045598">
      <w:pPr>
        <w:pStyle w:val="ListParagraph"/>
        <w:numPr>
          <w:ilvl w:val="2"/>
          <w:numId w:val="7"/>
        </w:numPr>
        <w:rPr>
          <w:sz w:val="24"/>
          <w:szCs w:val="24"/>
        </w:rPr>
      </w:pPr>
      <w:r w:rsidRPr="00045598">
        <w:rPr>
          <w:sz w:val="24"/>
          <w:szCs w:val="24"/>
        </w:rPr>
        <w:t xml:space="preserve">mental health concerns/emotional literacy </w:t>
      </w:r>
    </w:p>
    <w:p w:rsidR="00170213" w:rsidRPr="00045598" w:rsidRDefault="00170213" w:rsidP="00045598">
      <w:pPr>
        <w:pStyle w:val="ListParagraph"/>
        <w:numPr>
          <w:ilvl w:val="2"/>
          <w:numId w:val="7"/>
        </w:numPr>
        <w:rPr>
          <w:sz w:val="24"/>
          <w:szCs w:val="24"/>
        </w:rPr>
      </w:pPr>
      <w:r w:rsidRPr="00045598">
        <w:rPr>
          <w:sz w:val="24"/>
          <w:szCs w:val="24"/>
        </w:rPr>
        <w:t xml:space="preserve">out of school/support to return to school/work </w:t>
      </w:r>
    </w:p>
    <w:p w:rsidR="00170213" w:rsidRPr="00045598" w:rsidRDefault="00170213" w:rsidP="00045598">
      <w:pPr>
        <w:pStyle w:val="ListParagraph"/>
        <w:numPr>
          <w:ilvl w:val="2"/>
          <w:numId w:val="7"/>
        </w:numPr>
        <w:rPr>
          <w:sz w:val="24"/>
          <w:szCs w:val="24"/>
        </w:rPr>
      </w:pPr>
      <w:r w:rsidRPr="00045598">
        <w:rPr>
          <w:sz w:val="24"/>
          <w:szCs w:val="24"/>
        </w:rPr>
        <w:t>young travellers</w:t>
      </w:r>
    </w:p>
    <w:p w:rsidR="00170213" w:rsidRPr="00045598" w:rsidRDefault="00170213" w:rsidP="00045598">
      <w:pPr>
        <w:pStyle w:val="ListParagraph"/>
        <w:numPr>
          <w:ilvl w:val="2"/>
          <w:numId w:val="7"/>
        </w:numPr>
        <w:rPr>
          <w:sz w:val="24"/>
          <w:szCs w:val="24"/>
        </w:rPr>
      </w:pPr>
      <w:r w:rsidRPr="00045598">
        <w:rPr>
          <w:sz w:val="24"/>
          <w:szCs w:val="24"/>
        </w:rPr>
        <w:t>substance mis-use</w:t>
      </w:r>
    </w:p>
    <w:p w:rsidR="00170213" w:rsidRPr="00045598" w:rsidRDefault="00170213" w:rsidP="00045598">
      <w:pPr>
        <w:pStyle w:val="ListParagraph"/>
        <w:numPr>
          <w:ilvl w:val="2"/>
          <w:numId w:val="7"/>
        </w:numPr>
        <w:rPr>
          <w:sz w:val="24"/>
          <w:szCs w:val="24"/>
        </w:rPr>
      </w:pPr>
      <w:r w:rsidRPr="00045598">
        <w:rPr>
          <w:sz w:val="24"/>
          <w:szCs w:val="24"/>
        </w:rPr>
        <w:t>difficulties with peer relationships/bullying</w:t>
      </w:r>
    </w:p>
    <w:p w:rsidR="00170213" w:rsidRPr="00045598" w:rsidRDefault="00170213" w:rsidP="00045598">
      <w:pPr>
        <w:pStyle w:val="ListParagraph"/>
        <w:numPr>
          <w:ilvl w:val="2"/>
          <w:numId w:val="7"/>
        </w:numPr>
        <w:rPr>
          <w:sz w:val="24"/>
          <w:szCs w:val="24"/>
        </w:rPr>
      </w:pPr>
      <w:r w:rsidRPr="00045598">
        <w:rPr>
          <w:sz w:val="24"/>
          <w:szCs w:val="24"/>
        </w:rPr>
        <w:t>home situations that present as challenging</w:t>
      </w:r>
    </w:p>
    <w:p w:rsidR="00170213" w:rsidRPr="00045598" w:rsidRDefault="00170213" w:rsidP="00045598">
      <w:pPr>
        <w:pStyle w:val="ListParagraph"/>
        <w:numPr>
          <w:ilvl w:val="2"/>
          <w:numId w:val="7"/>
        </w:numPr>
        <w:rPr>
          <w:sz w:val="24"/>
          <w:szCs w:val="24"/>
        </w:rPr>
      </w:pPr>
      <w:r w:rsidRPr="00045598">
        <w:rPr>
          <w:sz w:val="24"/>
          <w:szCs w:val="24"/>
        </w:rPr>
        <w:t xml:space="preserve">Risky behaviour </w:t>
      </w:r>
    </w:p>
    <w:p w:rsidR="00170213" w:rsidRPr="00045598" w:rsidRDefault="00170213" w:rsidP="00045598">
      <w:pPr>
        <w:pStyle w:val="ListParagraph"/>
        <w:numPr>
          <w:ilvl w:val="2"/>
          <w:numId w:val="7"/>
        </w:numPr>
        <w:rPr>
          <w:sz w:val="24"/>
          <w:szCs w:val="24"/>
        </w:rPr>
      </w:pPr>
      <w:r w:rsidRPr="00045598">
        <w:rPr>
          <w:sz w:val="24"/>
          <w:szCs w:val="24"/>
        </w:rPr>
        <w:t xml:space="preserve">Poor hygiene </w:t>
      </w:r>
    </w:p>
    <w:p w:rsidR="00E32DC5" w:rsidRDefault="00170213" w:rsidP="00045598">
      <w:pPr>
        <w:pStyle w:val="ListParagraph"/>
        <w:numPr>
          <w:ilvl w:val="2"/>
          <w:numId w:val="7"/>
        </w:numPr>
        <w:rPr>
          <w:sz w:val="24"/>
          <w:szCs w:val="24"/>
        </w:rPr>
      </w:pPr>
      <w:r w:rsidRPr="00045598">
        <w:rPr>
          <w:sz w:val="24"/>
          <w:szCs w:val="24"/>
        </w:rPr>
        <w:t>Low confidence, self-esteem and anxiety</w:t>
      </w:r>
    </w:p>
    <w:p w:rsidR="00045598" w:rsidRPr="00045598" w:rsidRDefault="00045598" w:rsidP="00045598">
      <w:pPr>
        <w:pStyle w:val="ListParagraph"/>
        <w:numPr>
          <w:ilvl w:val="2"/>
          <w:numId w:val="7"/>
        </w:numPr>
        <w:rPr>
          <w:sz w:val="24"/>
          <w:szCs w:val="24"/>
        </w:rPr>
      </w:pPr>
    </w:p>
    <w:p w:rsidR="00170213" w:rsidRPr="00170213" w:rsidRDefault="00170213" w:rsidP="00170213">
      <w:pPr>
        <w:rPr>
          <w:sz w:val="24"/>
          <w:szCs w:val="24"/>
        </w:rPr>
      </w:pPr>
      <w:r w:rsidRPr="00170213">
        <w:rPr>
          <w:sz w:val="24"/>
          <w:szCs w:val="24"/>
        </w:rPr>
        <w:t xml:space="preserve">To ensure the best outcomes for young people and their families in Garryowen, an </w:t>
      </w:r>
      <w:r w:rsidRPr="00045598">
        <w:rPr>
          <w:b/>
          <w:sz w:val="24"/>
          <w:szCs w:val="24"/>
        </w:rPr>
        <w:t>Interagency Advisory Committee</w:t>
      </w:r>
      <w:r>
        <w:rPr>
          <w:sz w:val="24"/>
          <w:szCs w:val="24"/>
        </w:rPr>
        <w:t xml:space="preserve"> will be established and the successful applicant will play a critical role on this committee. </w:t>
      </w:r>
      <w:r w:rsidRPr="00170213">
        <w:rPr>
          <w:sz w:val="24"/>
          <w:szCs w:val="24"/>
        </w:rPr>
        <w:t>Membership of this committee will be made up of Community, Voluntary and Statutory agencies with a remit for young people and families.  This will provide a co-ordinated approach to the work and ensure agencies are working together for the benefit of the Community</w:t>
      </w:r>
    </w:p>
    <w:p w:rsidR="00E32DC5" w:rsidRDefault="00E32DC5">
      <w:pPr>
        <w:rPr>
          <w:sz w:val="24"/>
          <w:szCs w:val="24"/>
        </w:rPr>
      </w:pPr>
    </w:p>
    <w:p w:rsidR="00D831A6" w:rsidRDefault="00D831A6" w:rsidP="00170213">
      <w:pPr>
        <w:rPr>
          <w:sz w:val="24"/>
          <w:szCs w:val="24"/>
        </w:rPr>
      </w:pPr>
    </w:p>
    <w:p w:rsidR="00D831A6" w:rsidRDefault="00D831A6" w:rsidP="00170213">
      <w:pPr>
        <w:rPr>
          <w:sz w:val="24"/>
          <w:szCs w:val="24"/>
        </w:rPr>
      </w:pPr>
    </w:p>
    <w:p w:rsidR="00045598" w:rsidRDefault="00045598" w:rsidP="00170213">
      <w:pPr>
        <w:rPr>
          <w:sz w:val="24"/>
          <w:szCs w:val="24"/>
        </w:rPr>
      </w:pPr>
    </w:p>
    <w:p w:rsidR="00045598" w:rsidRDefault="00045598" w:rsidP="00170213">
      <w:pPr>
        <w:rPr>
          <w:sz w:val="24"/>
          <w:szCs w:val="24"/>
        </w:rPr>
      </w:pPr>
    </w:p>
    <w:p w:rsidR="00045598" w:rsidRDefault="00045598" w:rsidP="00170213">
      <w:pPr>
        <w:rPr>
          <w:sz w:val="24"/>
          <w:szCs w:val="24"/>
        </w:rPr>
      </w:pPr>
    </w:p>
    <w:p w:rsidR="00170213" w:rsidRPr="00170213" w:rsidRDefault="00170213" w:rsidP="00170213">
      <w:pPr>
        <w:rPr>
          <w:sz w:val="24"/>
          <w:szCs w:val="24"/>
        </w:rPr>
      </w:pPr>
      <w:r w:rsidRPr="00170213">
        <w:rPr>
          <w:sz w:val="24"/>
          <w:szCs w:val="24"/>
        </w:rPr>
        <w:t>Currently Garryowen has very limited provision of services to young people</w:t>
      </w:r>
    </w:p>
    <w:p w:rsidR="00170213" w:rsidRPr="00170213" w:rsidRDefault="00170213" w:rsidP="00170213">
      <w:pPr>
        <w:rPr>
          <w:sz w:val="24"/>
          <w:szCs w:val="24"/>
        </w:rPr>
      </w:pPr>
      <w:r w:rsidRPr="00170213">
        <w:rPr>
          <w:sz w:val="24"/>
          <w:szCs w:val="24"/>
        </w:rPr>
        <w:t>The LCETB envisions these gaps being addressed by the new serv</w:t>
      </w:r>
      <w:r w:rsidR="00045598">
        <w:rPr>
          <w:sz w:val="24"/>
          <w:szCs w:val="24"/>
        </w:rPr>
        <w:t>ice through this funding scheme</w:t>
      </w:r>
      <w:r w:rsidRPr="00170213">
        <w:rPr>
          <w:sz w:val="24"/>
          <w:szCs w:val="24"/>
        </w:rPr>
        <w:t xml:space="preserve">: </w:t>
      </w:r>
    </w:p>
    <w:p w:rsidR="00170213" w:rsidRPr="00D831A6" w:rsidRDefault="00170213" w:rsidP="00D831A6">
      <w:pPr>
        <w:pStyle w:val="ListParagraph"/>
        <w:numPr>
          <w:ilvl w:val="0"/>
          <w:numId w:val="28"/>
        </w:numPr>
        <w:rPr>
          <w:sz w:val="24"/>
          <w:szCs w:val="24"/>
        </w:rPr>
      </w:pPr>
      <w:r w:rsidRPr="00D831A6">
        <w:rPr>
          <w:sz w:val="24"/>
          <w:szCs w:val="24"/>
        </w:rPr>
        <w:t>Working with local partners in the Community, Voluntary and St</w:t>
      </w:r>
      <w:r w:rsidR="00D831A6" w:rsidRPr="00D831A6">
        <w:rPr>
          <w:sz w:val="24"/>
          <w:szCs w:val="24"/>
        </w:rPr>
        <w:t>atutory sector to establish a Revised Youth Project Scheme</w:t>
      </w:r>
      <w:r w:rsidRPr="00D831A6">
        <w:rPr>
          <w:sz w:val="24"/>
          <w:szCs w:val="24"/>
        </w:rPr>
        <w:t xml:space="preserve"> Project for the Garryowen area</w:t>
      </w:r>
    </w:p>
    <w:p w:rsidR="00D831A6" w:rsidRDefault="00170213" w:rsidP="00D831A6">
      <w:pPr>
        <w:pStyle w:val="ListParagraph"/>
        <w:numPr>
          <w:ilvl w:val="0"/>
          <w:numId w:val="28"/>
        </w:numPr>
        <w:rPr>
          <w:sz w:val="24"/>
          <w:szCs w:val="24"/>
        </w:rPr>
      </w:pPr>
      <w:r w:rsidRPr="00D831A6">
        <w:rPr>
          <w:sz w:val="24"/>
          <w:szCs w:val="24"/>
        </w:rPr>
        <w:t xml:space="preserve">Delivering a range of evidence based   and evidence informed programmes and supports to address the needs of young people presenting at Hardiker Level 2 including </w:t>
      </w:r>
    </w:p>
    <w:p w:rsidR="00170213" w:rsidRPr="00D831A6" w:rsidRDefault="00170213" w:rsidP="00D831A6">
      <w:pPr>
        <w:pStyle w:val="ListParagraph"/>
        <w:numPr>
          <w:ilvl w:val="1"/>
          <w:numId w:val="28"/>
        </w:numPr>
        <w:rPr>
          <w:sz w:val="24"/>
          <w:szCs w:val="24"/>
        </w:rPr>
      </w:pPr>
      <w:r w:rsidRPr="00D831A6">
        <w:rPr>
          <w:sz w:val="24"/>
          <w:szCs w:val="24"/>
        </w:rPr>
        <w:t xml:space="preserve">behaviour support programmes </w:t>
      </w:r>
    </w:p>
    <w:p w:rsidR="00D831A6" w:rsidRDefault="00170213" w:rsidP="00D831A6">
      <w:pPr>
        <w:pStyle w:val="ListParagraph"/>
        <w:numPr>
          <w:ilvl w:val="1"/>
          <w:numId w:val="28"/>
        </w:numPr>
        <w:rPr>
          <w:sz w:val="24"/>
          <w:szCs w:val="24"/>
        </w:rPr>
      </w:pPr>
      <w:r w:rsidRPr="00D831A6">
        <w:rPr>
          <w:sz w:val="24"/>
          <w:szCs w:val="24"/>
        </w:rPr>
        <w:t xml:space="preserve">parenting programmes for younger parents (link  with and refer to incredible years/strengthening families programmes – both these programmes have been very successfully rolled out in Limerick)  </w:t>
      </w:r>
    </w:p>
    <w:p w:rsidR="00D831A6" w:rsidRDefault="00170213" w:rsidP="00D831A6">
      <w:pPr>
        <w:pStyle w:val="ListParagraph"/>
        <w:numPr>
          <w:ilvl w:val="1"/>
          <w:numId w:val="28"/>
        </w:numPr>
        <w:rPr>
          <w:sz w:val="24"/>
          <w:szCs w:val="24"/>
        </w:rPr>
      </w:pPr>
      <w:r w:rsidRPr="00D831A6">
        <w:rPr>
          <w:sz w:val="24"/>
          <w:szCs w:val="24"/>
        </w:rPr>
        <w:t xml:space="preserve">increased engagement in educational services  - link with Education and Welfare Officers (EWO) and other education providers </w:t>
      </w:r>
    </w:p>
    <w:p w:rsidR="00D831A6" w:rsidRDefault="00170213" w:rsidP="00D831A6">
      <w:pPr>
        <w:pStyle w:val="ListParagraph"/>
        <w:numPr>
          <w:ilvl w:val="1"/>
          <w:numId w:val="28"/>
        </w:numPr>
        <w:rPr>
          <w:sz w:val="24"/>
          <w:szCs w:val="24"/>
        </w:rPr>
      </w:pPr>
      <w:r w:rsidRPr="00D831A6">
        <w:rPr>
          <w:sz w:val="24"/>
          <w:szCs w:val="24"/>
        </w:rPr>
        <w:t>Communication skills, developing resilience</w:t>
      </w:r>
    </w:p>
    <w:p w:rsidR="00170213" w:rsidRPr="00D831A6" w:rsidRDefault="00D831A6" w:rsidP="00D831A6">
      <w:pPr>
        <w:pStyle w:val="ListParagraph"/>
        <w:numPr>
          <w:ilvl w:val="1"/>
          <w:numId w:val="28"/>
        </w:numPr>
        <w:rPr>
          <w:sz w:val="24"/>
          <w:szCs w:val="24"/>
        </w:rPr>
      </w:pPr>
      <w:r w:rsidRPr="00D831A6">
        <w:rPr>
          <w:sz w:val="24"/>
          <w:szCs w:val="24"/>
        </w:rPr>
        <w:t xml:space="preserve">supports for young people </w:t>
      </w:r>
      <w:r w:rsidR="00170213" w:rsidRPr="00D831A6">
        <w:rPr>
          <w:sz w:val="24"/>
          <w:szCs w:val="24"/>
        </w:rPr>
        <w:t xml:space="preserve"> who are deemed vulnerable through an assessment of their needs </w:t>
      </w:r>
    </w:p>
    <w:p w:rsidR="00170213" w:rsidRPr="00D831A6" w:rsidRDefault="00170213" w:rsidP="00D831A6">
      <w:pPr>
        <w:pStyle w:val="ListParagraph"/>
        <w:numPr>
          <w:ilvl w:val="0"/>
          <w:numId w:val="28"/>
        </w:numPr>
        <w:rPr>
          <w:sz w:val="24"/>
          <w:szCs w:val="24"/>
        </w:rPr>
      </w:pPr>
      <w:r w:rsidRPr="00D831A6">
        <w:rPr>
          <w:sz w:val="24"/>
          <w:szCs w:val="24"/>
        </w:rPr>
        <w:t>Designing Programmes in partnership with young people and a wide range of partners including education, health, social services, law enforcement and the voluntary sector.</w:t>
      </w:r>
    </w:p>
    <w:p w:rsidR="00170213" w:rsidRPr="00D831A6" w:rsidRDefault="00170213" w:rsidP="00D831A6">
      <w:pPr>
        <w:pStyle w:val="ListParagraph"/>
        <w:numPr>
          <w:ilvl w:val="0"/>
          <w:numId w:val="28"/>
        </w:numPr>
        <w:rPr>
          <w:sz w:val="24"/>
          <w:szCs w:val="24"/>
        </w:rPr>
      </w:pPr>
      <w:r w:rsidRPr="00D831A6">
        <w:rPr>
          <w:sz w:val="24"/>
          <w:szCs w:val="24"/>
        </w:rPr>
        <w:t xml:space="preserve">Ensuring the project will engage in the National Quality Standards Framework for Youth Work NQSF. </w:t>
      </w:r>
    </w:p>
    <w:p w:rsidR="00170213" w:rsidRPr="00D831A6" w:rsidRDefault="00170213" w:rsidP="00D831A6">
      <w:pPr>
        <w:pStyle w:val="ListParagraph"/>
        <w:numPr>
          <w:ilvl w:val="0"/>
          <w:numId w:val="28"/>
        </w:numPr>
        <w:rPr>
          <w:sz w:val="24"/>
          <w:szCs w:val="24"/>
        </w:rPr>
      </w:pPr>
      <w:r w:rsidRPr="00D831A6">
        <w:rPr>
          <w:sz w:val="24"/>
          <w:szCs w:val="24"/>
        </w:rPr>
        <w:t>Enhancing links with local and Citywide Addiction Services and Family Support Agencies to ensure that young people and families are educated about Drugs and Alcohol</w:t>
      </w:r>
    </w:p>
    <w:p w:rsidR="00170213" w:rsidRPr="00D831A6" w:rsidRDefault="00170213" w:rsidP="00170213">
      <w:pPr>
        <w:pStyle w:val="ListParagraph"/>
        <w:numPr>
          <w:ilvl w:val="0"/>
          <w:numId w:val="28"/>
        </w:numPr>
        <w:rPr>
          <w:sz w:val="24"/>
          <w:szCs w:val="24"/>
        </w:rPr>
      </w:pPr>
      <w:r w:rsidRPr="00D831A6">
        <w:rPr>
          <w:sz w:val="24"/>
          <w:szCs w:val="24"/>
        </w:rPr>
        <w:t xml:space="preserve">Strengthening links with local schools to ensure that young people are supported to stay in school in both primary and secondary schools. </w:t>
      </w:r>
    </w:p>
    <w:p w:rsidR="00E32DC5" w:rsidRDefault="00170213" w:rsidP="00170213">
      <w:pPr>
        <w:rPr>
          <w:sz w:val="24"/>
          <w:szCs w:val="24"/>
        </w:rPr>
      </w:pPr>
      <w:r w:rsidRPr="00170213">
        <w:rPr>
          <w:sz w:val="24"/>
          <w:szCs w:val="24"/>
        </w:rPr>
        <w:t>It is envisaged the service will operate in the main an out of school service including evening and weekend service and will also cate</w:t>
      </w:r>
      <w:r w:rsidR="00F9352F">
        <w:rPr>
          <w:sz w:val="24"/>
          <w:szCs w:val="24"/>
        </w:rPr>
        <w:t>r for the school holiday period</w:t>
      </w:r>
      <w:r w:rsidRPr="00170213">
        <w:rPr>
          <w:sz w:val="24"/>
          <w:szCs w:val="24"/>
        </w:rPr>
        <w:t>.</w:t>
      </w:r>
    </w:p>
    <w:p w:rsidR="00E32DC5" w:rsidRPr="00A77336" w:rsidRDefault="00E32DC5" w:rsidP="00E32DC5">
      <w:pPr>
        <w:pStyle w:val="BodyText"/>
        <w:numPr>
          <w:ilvl w:val="0"/>
          <w:numId w:val="10"/>
        </w:numPr>
        <w:ind w:left="0"/>
        <w:rPr>
          <w:b/>
          <w:sz w:val="28"/>
        </w:rPr>
      </w:pPr>
      <w:r>
        <w:rPr>
          <w:rFonts w:eastAsiaTheme="minorEastAsia"/>
          <w:b/>
          <w:szCs w:val="20"/>
          <w:u w:val="single"/>
        </w:rPr>
        <w:t xml:space="preserve">Desired Outcomes of </w:t>
      </w:r>
      <w:r w:rsidR="00045598">
        <w:rPr>
          <w:rFonts w:eastAsiaTheme="minorEastAsia"/>
          <w:b/>
          <w:szCs w:val="20"/>
          <w:u w:val="single"/>
        </w:rPr>
        <w:t xml:space="preserve">Revised Youth Funding Scheme Project </w:t>
      </w:r>
      <w:r>
        <w:rPr>
          <w:rFonts w:eastAsiaTheme="minorEastAsia"/>
          <w:b/>
          <w:szCs w:val="20"/>
          <w:u w:val="single"/>
        </w:rPr>
        <w:t>for Participants</w:t>
      </w:r>
      <w:r w:rsidR="00045598">
        <w:rPr>
          <w:rFonts w:eastAsiaTheme="minorEastAsia"/>
          <w:b/>
          <w:color w:val="FF0000"/>
          <w:szCs w:val="20"/>
          <w:u w:val="single"/>
        </w:rPr>
        <w:t xml:space="preserve"> </w:t>
      </w:r>
      <w:r>
        <w:rPr>
          <w:rFonts w:eastAsiaTheme="minorEastAsia"/>
          <w:b/>
          <w:color w:val="FF0000"/>
          <w:szCs w:val="20"/>
          <w:u w:val="single"/>
        </w:rPr>
        <w:t xml:space="preserve"> </w:t>
      </w:r>
    </w:p>
    <w:p w:rsidR="00E32DC5" w:rsidRPr="00635648" w:rsidRDefault="00E32DC5" w:rsidP="00E32DC5">
      <w:pPr>
        <w:pStyle w:val="ListParagraph"/>
        <w:numPr>
          <w:ilvl w:val="0"/>
          <w:numId w:val="11"/>
        </w:numPr>
        <w:tabs>
          <w:tab w:val="left" w:pos="2535"/>
        </w:tabs>
        <w:spacing w:after="0" w:line="240" w:lineRule="auto"/>
        <w:rPr>
          <w:rFonts w:cs="Arial"/>
          <w:i/>
          <w:szCs w:val="20"/>
        </w:rPr>
      </w:pPr>
      <w:r w:rsidRPr="00635648">
        <w:rPr>
          <w:rFonts w:cs="Arial"/>
          <w:i/>
          <w:szCs w:val="20"/>
        </w:rPr>
        <w:t>Improved Resilience and Determination</w:t>
      </w:r>
    </w:p>
    <w:p w:rsidR="00E32DC5" w:rsidRPr="00635648" w:rsidRDefault="00E32DC5" w:rsidP="00E32DC5">
      <w:pPr>
        <w:pStyle w:val="ListParagraph"/>
        <w:numPr>
          <w:ilvl w:val="0"/>
          <w:numId w:val="11"/>
        </w:numPr>
        <w:tabs>
          <w:tab w:val="left" w:pos="2535"/>
        </w:tabs>
        <w:spacing w:after="0" w:line="240" w:lineRule="auto"/>
        <w:rPr>
          <w:rFonts w:cs="Arial"/>
          <w:i/>
          <w:szCs w:val="20"/>
        </w:rPr>
      </w:pPr>
      <w:r w:rsidRPr="00635648">
        <w:rPr>
          <w:rFonts w:cs="Arial"/>
          <w:i/>
          <w:szCs w:val="20"/>
        </w:rPr>
        <w:t>Greater Relationship Building and Socialisation opportunities</w:t>
      </w:r>
    </w:p>
    <w:p w:rsidR="00E32DC5" w:rsidRPr="00635648" w:rsidRDefault="00E32DC5" w:rsidP="00E32DC5">
      <w:pPr>
        <w:pStyle w:val="ListParagraph"/>
        <w:numPr>
          <w:ilvl w:val="0"/>
          <w:numId w:val="11"/>
        </w:numPr>
        <w:tabs>
          <w:tab w:val="left" w:pos="2535"/>
        </w:tabs>
        <w:spacing w:after="0" w:line="240" w:lineRule="auto"/>
        <w:rPr>
          <w:rFonts w:cs="Arial"/>
          <w:i/>
          <w:szCs w:val="20"/>
        </w:rPr>
      </w:pPr>
      <w:r w:rsidRPr="00635648">
        <w:rPr>
          <w:rFonts w:cs="Arial"/>
          <w:i/>
          <w:szCs w:val="20"/>
        </w:rPr>
        <w:t>Connecting with locality and community</w:t>
      </w:r>
      <w:r w:rsidRPr="00635648">
        <w:rPr>
          <w:rFonts w:cs="Arial"/>
          <w:i/>
          <w:szCs w:val="20"/>
          <w:lang w:val="en-GB"/>
        </w:rPr>
        <w:t xml:space="preserve"> (sense of belonging)</w:t>
      </w:r>
    </w:p>
    <w:p w:rsidR="00E32DC5" w:rsidRPr="00635648" w:rsidRDefault="00E32DC5" w:rsidP="00E32DC5">
      <w:pPr>
        <w:pStyle w:val="ListParagraph"/>
        <w:numPr>
          <w:ilvl w:val="0"/>
          <w:numId w:val="11"/>
        </w:numPr>
        <w:tabs>
          <w:tab w:val="left" w:pos="2535"/>
        </w:tabs>
        <w:spacing w:after="0" w:line="240" w:lineRule="auto"/>
        <w:rPr>
          <w:rFonts w:cs="Arial"/>
          <w:i/>
          <w:szCs w:val="20"/>
        </w:rPr>
      </w:pPr>
      <w:r w:rsidRPr="00635648">
        <w:rPr>
          <w:rFonts w:cs="Arial"/>
          <w:i/>
          <w:szCs w:val="20"/>
        </w:rPr>
        <w:t>Increased communication skills</w:t>
      </w:r>
    </w:p>
    <w:p w:rsidR="00E32DC5" w:rsidRPr="00635648" w:rsidRDefault="00E32DC5" w:rsidP="00E32DC5">
      <w:pPr>
        <w:pStyle w:val="ListParagraph"/>
        <w:numPr>
          <w:ilvl w:val="0"/>
          <w:numId w:val="11"/>
        </w:numPr>
        <w:rPr>
          <w:rFonts w:cs="Arial"/>
          <w:szCs w:val="20"/>
        </w:rPr>
      </w:pPr>
      <w:r w:rsidRPr="00635648">
        <w:rPr>
          <w:rFonts w:cs="Arial"/>
          <w:i/>
          <w:szCs w:val="20"/>
        </w:rPr>
        <w:t xml:space="preserve">Increased sense of confidence and agency </w:t>
      </w:r>
    </w:p>
    <w:p w:rsidR="00E32DC5" w:rsidRPr="00635648" w:rsidRDefault="00E32DC5" w:rsidP="00E32DC5">
      <w:pPr>
        <w:pStyle w:val="ListParagraph"/>
        <w:numPr>
          <w:ilvl w:val="0"/>
          <w:numId w:val="11"/>
        </w:numPr>
        <w:rPr>
          <w:rFonts w:cs="Arial"/>
          <w:szCs w:val="20"/>
        </w:rPr>
      </w:pPr>
      <w:r w:rsidRPr="00635648">
        <w:rPr>
          <w:rFonts w:cs="Arial"/>
          <w:i/>
          <w:szCs w:val="20"/>
        </w:rPr>
        <w:t>Ensuring poverty is no longer a barrier to accessing Youth Provision</w:t>
      </w:r>
      <w:r>
        <w:rPr>
          <w:rFonts w:cs="Arial"/>
          <w:i/>
          <w:szCs w:val="20"/>
        </w:rPr>
        <w:t xml:space="preserve"> on offer</w:t>
      </w:r>
    </w:p>
    <w:p w:rsidR="00E32DC5" w:rsidRPr="00833828" w:rsidRDefault="00E32DC5" w:rsidP="00E32DC5">
      <w:pPr>
        <w:tabs>
          <w:tab w:val="left" w:pos="2535"/>
        </w:tabs>
        <w:spacing w:after="0" w:line="240" w:lineRule="auto"/>
        <w:rPr>
          <w:rFonts w:cs="Arial"/>
          <w:i/>
          <w:color w:val="0070C0"/>
          <w:szCs w:val="20"/>
        </w:rPr>
      </w:pPr>
    </w:p>
    <w:p w:rsidR="00045598" w:rsidRPr="00045598" w:rsidRDefault="00045598" w:rsidP="00045598">
      <w:pPr>
        <w:pStyle w:val="BodyText"/>
        <w:rPr>
          <w:b/>
          <w:sz w:val="28"/>
        </w:rPr>
      </w:pPr>
    </w:p>
    <w:p w:rsidR="00104216" w:rsidRPr="00045598" w:rsidRDefault="00045598" w:rsidP="00104216">
      <w:pPr>
        <w:pStyle w:val="BodyText"/>
        <w:numPr>
          <w:ilvl w:val="0"/>
          <w:numId w:val="10"/>
        </w:numPr>
        <w:ind w:left="0"/>
        <w:rPr>
          <w:b/>
          <w:sz w:val="28"/>
        </w:rPr>
      </w:pPr>
      <w:r>
        <w:rPr>
          <w:rFonts w:eastAsiaTheme="minorEastAsia"/>
          <w:b/>
          <w:sz w:val="28"/>
          <w:szCs w:val="20"/>
          <w:lang w:val="en-US"/>
        </w:rPr>
        <w:t>Selection of N</w:t>
      </w:r>
      <w:r w:rsidR="00104216" w:rsidRPr="00045598">
        <w:rPr>
          <w:rFonts w:eastAsiaTheme="minorEastAsia"/>
          <w:b/>
          <w:sz w:val="28"/>
          <w:szCs w:val="20"/>
          <w:lang w:val="en-US"/>
        </w:rPr>
        <w:t>ew Service Provider Process</w:t>
      </w:r>
    </w:p>
    <w:p w:rsidR="00431433" w:rsidRDefault="00104216" w:rsidP="00104216">
      <w:pPr>
        <w:pStyle w:val="BodyText"/>
        <w:rPr>
          <w:lang w:val="en-US"/>
        </w:rPr>
      </w:pPr>
      <w:r>
        <w:rPr>
          <w:lang w:val="en-US"/>
        </w:rPr>
        <w:t>An</w:t>
      </w:r>
      <w:r w:rsidRPr="00432996">
        <w:rPr>
          <w:lang w:val="en-US"/>
        </w:rPr>
        <w:t xml:space="preserve"> organisation will be</w:t>
      </w:r>
      <w:r>
        <w:rPr>
          <w:lang w:val="en-US"/>
        </w:rPr>
        <w:t xml:space="preserve"> identified through the following</w:t>
      </w:r>
      <w:r w:rsidRPr="00432996">
        <w:rPr>
          <w:lang w:val="en-US"/>
        </w:rPr>
        <w:t xml:space="preserve"> selection process, and a </w:t>
      </w:r>
      <w:r>
        <w:rPr>
          <w:lang w:val="en-US"/>
        </w:rPr>
        <w:t>Service Level Agreement will be signed</w:t>
      </w:r>
      <w:r w:rsidRPr="00432996">
        <w:rPr>
          <w:lang w:val="en-US"/>
        </w:rPr>
        <w:t xml:space="preserve"> </w:t>
      </w:r>
      <w:r>
        <w:rPr>
          <w:lang w:val="en-US"/>
        </w:rPr>
        <w:t>for</w:t>
      </w:r>
      <w:r w:rsidRPr="00432996">
        <w:rPr>
          <w:lang w:val="en-US"/>
        </w:rPr>
        <w:t xml:space="preserve"> t</w:t>
      </w:r>
      <w:r>
        <w:rPr>
          <w:lang w:val="en-US"/>
        </w:rPr>
        <w:t>he</w:t>
      </w:r>
      <w:r w:rsidR="009D67F6">
        <w:rPr>
          <w:lang w:val="en-US"/>
        </w:rPr>
        <w:t xml:space="preserve"> </w:t>
      </w:r>
      <w:r w:rsidR="00045598" w:rsidRPr="00045598">
        <w:rPr>
          <w:lang w:val="en-US"/>
        </w:rPr>
        <w:t>Revised Youth Funding Scheme</w:t>
      </w:r>
      <w:r w:rsidR="009D67F6">
        <w:rPr>
          <w:lang w:val="en-US"/>
        </w:rPr>
        <w:t xml:space="preserve"> </w:t>
      </w:r>
      <w:r w:rsidR="00750023">
        <w:rPr>
          <w:lang w:val="en-US"/>
        </w:rPr>
        <w:t>project to</w:t>
      </w:r>
      <w:r>
        <w:rPr>
          <w:lang w:val="en-US"/>
        </w:rPr>
        <w:t xml:space="preserve"> be based in</w:t>
      </w:r>
      <w:r w:rsidR="00431433">
        <w:rPr>
          <w:lang w:val="en-US"/>
        </w:rPr>
        <w:t xml:space="preserve"> Garryowen, Limerick </w:t>
      </w:r>
      <w:r w:rsidR="00750023">
        <w:rPr>
          <w:lang w:val="en-US"/>
        </w:rPr>
        <w:t xml:space="preserve">City. </w:t>
      </w:r>
    </w:p>
    <w:p w:rsidR="00104216" w:rsidRPr="00333F9D" w:rsidRDefault="00104216" w:rsidP="00104216">
      <w:pPr>
        <w:pStyle w:val="BodyText"/>
        <w:rPr>
          <w:lang w:val="en-US"/>
        </w:rPr>
      </w:pPr>
      <w:r w:rsidRPr="00432996">
        <w:rPr>
          <w:lang w:val="en-US"/>
        </w:rPr>
        <w:t>The following are the</w:t>
      </w:r>
      <w:r>
        <w:rPr>
          <w:lang w:val="en-US"/>
        </w:rPr>
        <w:t xml:space="preserve"> stages involved in the process:</w:t>
      </w:r>
    </w:p>
    <w:p w:rsidR="009D67F6" w:rsidRPr="009D67F6" w:rsidRDefault="00104216" w:rsidP="00045598">
      <w:pPr>
        <w:pStyle w:val="ListParagraph"/>
        <w:numPr>
          <w:ilvl w:val="0"/>
          <w:numId w:val="13"/>
        </w:numPr>
        <w:rPr>
          <w:i/>
        </w:rPr>
      </w:pPr>
      <w:r w:rsidRPr="00931736">
        <w:rPr>
          <w:b/>
          <w:lang w:val="en-US"/>
        </w:rPr>
        <w:t>Stage 1</w:t>
      </w:r>
      <w:r w:rsidRPr="00931736">
        <w:rPr>
          <w:lang w:val="en-US"/>
        </w:rPr>
        <w:t xml:space="preserve"> –</w:t>
      </w:r>
      <w:r w:rsidR="00702B8E">
        <w:rPr>
          <w:lang w:val="en-US"/>
        </w:rPr>
        <w:t xml:space="preserve">LCETB </w:t>
      </w:r>
      <w:r w:rsidRPr="00931736">
        <w:rPr>
          <w:lang w:val="en-US"/>
        </w:rPr>
        <w:t xml:space="preserve">publicly </w:t>
      </w:r>
      <w:r w:rsidRPr="00931736">
        <w:rPr>
          <w:b/>
          <w:lang w:val="en-US"/>
        </w:rPr>
        <w:t xml:space="preserve">advertise the </w:t>
      </w:r>
      <w:r w:rsidR="00045598" w:rsidRPr="00045598">
        <w:rPr>
          <w:b/>
          <w:lang w:val="en-US"/>
        </w:rPr>
        <w:t xml:space="preserve">Revised Youth Funding </w:t>
      </w:r>
      <w:r w:rsidR="00750023" w:rsidRPr="00045598">
        <w:rPr>
          <w:b/>
          <w:lang w:val="en-US"/>
        </w:rPr>
        <w:t>Scheme by</w:t>
      </w:r>
      <w:r w:rsidR="00702B8E">
        <w:t xml:space="preserve"> </w:t>
      </w:r>
      <w:r w:rsidR="00750023">
        <w:t>mid-January</w:t>
      </w:r>
      <w:r w:rsidR="00F9352F">
        <w:t xml:space="preserve"> </w:t>
      </w:r>
      <w:r w:rsidRPr="00931736">
        <w:rPr>
          <w:lang w:val="en-US"/>
        </w:rPr>
        <w:t xml:space="preserve">asking interested parties to apply according to the steps outlined in the Information Pack and Application </w:t>
      </w:r>
      <w:r w:rsidRPr="00CE3310">
        <w:rPr>
          <w:lang w:val="en-US"/>
        </w:rPr>
        <w:t>Form.</w:t>
      </w:r>
    </w:p>
    <w:p w:rsidR="00104216" w:rsidRPr="00126C8D" w:rsidRDefault="00104216" w:rsidP="00045598">
      <w:pPr>
        <w:pStyle w:val="ListParagraph"/>
        <w:numPr>
          <w:ilvl w:val="0"/>
          <w:numId w:val="13"/>
        </w:numPr>
        <w:rPr>
          <w:b/>
          <w:i/>
        </w:rPr>
      </w:pPr>
      <w:r w:rsidRPr="00CE3310">
        <w:rPr>
          <w:i/>
        </w:rPr>
        <w:t xml:space="preserve"> </w:t>
      </w:r>
      <w:r w:rsidRPr="00CE3310">
        <w:t xml:space="preserve">The closing date for receipt of applications </w:t>
      </w:r>
      <w:r w:rsidRPr="00126C8D">
        <w:t>is</w:t>
      </w:r>
      <w:r w:rsidRPr="00126C8D">
        <w:rPr>
          <w:color w:val="FF0000"/>
        </w:rPr>
        <w:t xml:space="preserve"> </w:t>
      </w:r>
      <w:r w:rsidR="00126C8D" w:rsidRPr="00126C8D">
        <w:rPr>
          <w:color w:val="FF0000"/>
        </w:rPr>
        <w:t xml:space="preserve"> </w:t>
      </w:r>
      <w:r w:rsidR="00126C8D" w:rsidRPr="00126C8D">
        <w:rPr>
          <w:b/>
          <w:color w:val="FF0000"/>
        </w:rPr>
        <w:t xml:space="preserve">Friday </w:t>
      </w:r>
      <w:r w:rsidR="00F9352F">
        <w:rPr>
          <w:b/>
          <w:color w:val="FF0000"/>
        </w:rPr>
        <w:t>9</w:t>
      </w:r>
      <w:r w:rsidR="00F9352F" w:rsidRPr="00F9352F">
        <w:rPr>
          <w:b/>
          <w:color w:val="FF0000"/>
          <w:vertAlign w:val="superscript"/>
        </w:rPr>
        <w:t>th</w:t>
      </w:r>
      <w:r w:rsidR="00F9352F">
        <w:rPr>
          <w:b/>
          <w:color w:val="FF0000"/>
        </w:rPr>
        <w:t xml:space="preserve"> February 2018 </w:t>
      </w:r>
    </w:p>
    <w:p w:rsidR="00104216" w:rsidRPr="009D67F6" w:rsidRDefault="00104216" w:rsidP="0010421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center"/>
        <w:rPr>
          <w:b/>
          <w:i/>
          <w:color w:val="0070C0"/>
        </w:rPr>
      </w:pPr>
      <w:r w:rsidRPr="009D67F6">
        <w:rPr>
          <w:b/>
          <w:i/>
          <w:color w:val="0070C0"/>
        </w:rPr>
        <w:t xml:space="preserve">Note: </w:t>
      </w:r>
      <w:r w:rsidRPr="009D67F6">
        <w:rPr>
          <w:b/>
          <w:color w:val="0070C0"/>
        </w:rPr>
        <w:t xml:space="preserve">only organisations </w:t>
      </w:r>
      <w:r w:rsidR="00750023" w:rsidRPr="009D67F6">
        <w:rPr>
          <w:b/>
          <w:color w:val="0070C0"/>
        </w:rPr>
        <w:t>that</w:t>
      </w:r>
      <w:r w:rsidRPr="009D67F6">
        <w:rPr>
          <w:b/>
          <w:color w:val="0070C0"/>
        </w:rPr>
        <w:t xml:space="preserve"> have fully completed the Application Form and answered </w:t>
      </w:r>
      <w:r w:rsidR="00750023" w:rsidRPr="009D67F6">
        <w:rPr>
          <w:b/>
          <w:color w:val="0070C0"/>
        </w:rPr>
        <w:t>yes</w:t>
      </w:r>
      <w:r w:rsidRPr="009D67F6">
        <w:rPr>
          <w:b/>
          <w:color w:val="0070C0"/>
        </w:rPr>
        <w:t xml:space="preserve"> to all 12 questions in </w:t>
      </w:r>
      <w:r w:rsidRPr="009D67F6">
        <w:rPr>
          <w:b/>
          <w:color w:val="0070C0"/>
          <w:lang w:val="en-GB"/>
        </w:rPr>
        <w:t>Pre-Qualification Questionnaire, accompanying the Application Form</w:t>
      </w:r>
      <w:r w:rsidRPr="009D67F6">
        <w:rPr>
          <w:b/>
          <w:color w:val="0070C0"/>
        </w:rPr>
        <w:t>, will be considered for interview.</w:t>
      </w:r>
    </w:p>
    <w:p w:rsidR="009D67F6" w:rsidRPr="009D67F6" w:rsidRDefault="00104216" w:rsidP="009D67F6">
      <w:pPr>
        <w:pStyle w:val="ListBullet2"/>
        <w:numPr>
          <w:ilvl w:val="0"/>
          <w:numId w:val="33"/>
        </w:numPr>
        <w:ind w:left="360"/>
        <w:rPr>
          <w:b/>
          <w:color w:val="FF0000"/>
          <w:lang w:val="en-US"/>
        </w:rPr>
      </w:pPr>
      <w:r w:rsidRPr="00CE3310">
        <w:rPr>
          <w:b/>
          <w:lang w:val="en-US"/>
        </w:rPr>
        <w:t>Stage 2</w:t>
      </w:r>
      <w:r w:rsidRPr="00CE3310">
        <w:rPr>
          <w:lang w:val="en-US"/>
        </w:rPr>
        <w:t xml:space="preserve"> - Analysis of Application Forms and shortlisting for i</w:t>
      </w:r>
      <w:r w:rsidR="00566601">
        <w:rPr>
          <w:lang w:val="en-US"/>
        </w:rPr>
        <w:t xml:space="preserve">nterview process takes place </w:t>
      </w:r>
      <w:r w:rsidR="00750023">
        <w:rPr>
          <w:lang w:val="en-US"/>
        </w:rPr>
        <w:t>mid-February</w:t>
      </w:r>
    </w:p>
    <w:p w:rsidR="00104216" w:rsidRPr="00702B8E" w:rsidRDefault="00104216" w:rsidP="009D67F6">
      <w:pPr>
        <w:pStyle w:val="ListBullet2"/>
        <w:numPr>
          <w:ilvl w:val="0"/>
          <w:numId w:val="33"/>
        </w:numPr>
        <w:ind w:left="360"/>
        <w:rPr>
          <w:b/>
          <w:color w:val="FF0000"/>
          <w:lang w:val="en-US"/>
        </w:rPr>
      </w:pPr>
      <w:r w:rsidRPr="00CE3310">
        <w:t xml:space="preserve">Successful candidates </w:t>
      </w:r>
      <w:r w:rsidR="00566601">
        <w:t>will be called for interview from 19</w:t>
      </w:r>
      <w:r w:rsidR="00566601" w:rsidRPr="00566601">
        <w:rPr>
          <w:vertAlign w:val="superscript"/>
        </w:rPr>
        <w:t>th</w:t>
      </w:r>
      <w:r w:rsidR="00566601">
        <w:t xml:space="preserve"> February onwards </w:t>
      </w:r>
    </w:p>
    <w:p w:rsidR="00104216" w:rsidRPr="009D67F6" w:rsidRDefault="00104216" w:rsidP="009D67F6">
      <w:pPr>
        <w:pStyle w:val="ListParagraph"/>
        <w:numPr>
          <w:ilvl w:val="0"/>
          <w:numId w:val="33"/>
        </w:numPr>
        <w:ind w:left="360"/>
        <w:rPr>
          <w:i/>
          <w:sz w:val="24"/>
          <w:szCs w:val="24"/>
        </w:rPr>
      </w:pPr>
      <w:r w:rsidRPr="009D67F6">
        <w:rPr>
          <w:b/>
          <w:lang w:val="en-US"/>
        </w:rPr>
        <w:t>Stage 3</w:t>
      </w:r>
      <w:r w:rsidRPr="009D67F6">
        <w:rPr>
          <w:lang w:val="en-US"/>
        </w:rPr>
        <w:t xml:space="preserve"> – </w:t>
      </w:r>
      <w:r w:rsidRPr="009D67F6">
        <w:rPr>
          <w:b/>
          <w:lang w:val="en-US"/>
        </w:rPr>
        <w:t xml:space="preserve">Interviews </w:t>
      </w:r>
      <w:r w:rsidR="00566601">
        <w:rPr>
          <w:lang w:val="en-US"/>
        </w:rPr>
        <w:t xml:space="preserve">take place </w:t>
      </w:r>
      <w:r w:rsidR="00566601" w:rsidRPr="00566601">
        <w:rPr>
          <w:b/>
          <w:lang w:val="en-US"/>
        </w:rPr>
        <w:t>from 19</w:t>
      </w:r>
      <w:r w:rsidR="00566601" w:rsidRPr="00566601">
        <w:rPr>
          <w:b/>
          <w:vertAlign w:val="superscript"/>
          <w:lang w:val="en-US"/>
        </w:rPr>
        <w:t>th</w:t>
      </w:r>
      <w:r w:rsidR="00566601" w:rsidRPr="00566601">
        <w:rPr>
          <w:b/>
          <w:lang w:val="en-US"/>
        </w:rPr>
        <w:t xml:space="preserve"> February 2018</w:t>
      </w:r>
      <w:r w:rsidR="00566601" w:rsidRPr="00566601">
        <w:rPr>
          <w:lang w:val="en-US"/>
        </w:rPr>
        <w:t xml:space="preserve"> onwards</w:t>
      </w:r>
      <w:r w:rsidR="00566601">
        <w:rPr>
          <w:color w:val="FF0000"/>
          <w:lang w:val="en-US"/>
        </w:rPr>
        <w:t xml:space="preserve">. </w:t>
      </w:r>
      <w:r w:rsidR="009D67F6" w:rsidRPr="009D67F6">
        <w:rPr>
          <w:color w:val="FF0000"/>
          <w:lang w:val="en-US"/>
        </w:rPr>
        <w:t xml:space="preserve"> </w:t>
      </w:r>
      <w:r w:rsidRPr="009D67F6">
        <w:rPr>
          <w:lang w:val="en-US"/>
        </w:rPr>
        <w:t xml:space="preserve">Interviews will consist of presentations followed by Q &amp; A. Interview panel will include senior </w:t>
      </w:r>
      <w:r w:rsidR="00702B8E" w:rsidRPr="009D67F6">
        <w:rPr>
          <w:lang w:val="en-US"/>
        </w:rPr>
        <w:t>LCETB</w:t>
      </w:r>
      <w:r w:rsidRPr="009D67F6">
        <w:rPr>
          <w:lang w:val="en-US"/>
        </w:rPr>
        <w:t xml:space="preserve"> personnel, </w:t>
      </w:r>
      <w:r w:rsidR="009D67F6" w:rsidRPr="009D67F6">
        <w:rPr>
          <w:lang w:val="en-US"/>
        </w:rPr>
        <w:t>and LCETB</w:t>
      </w:r>
      <w:r w:rsidRPr="009D67F6">
        <w:rPr>
          <w:lang w:val="en-US"/>
        </w:rPr>
        <w:t xml:space="preserve"> Youth Officer.</w:t>
      </w:r>
      <w:r w:rsidRPr="009D67F6">
        <w:rPr>
          <w:i/>
          <w:sz w:val="24"/>
          <w:szCs w:val="24"/>
        </w:rPr>
        <w:t xml:space="preserve"> </w:t>
      </w:r>
      <w:r w:rsidRPr="009D67F6">
        <w:rPr>
          <w:i/>
          <w:lang w:val="en-US"/>
        </w:rPr>
        <w:t>See Application Form for details on the Marking Scheme.</w:t>
      </w:r>
    </w:p>
    <w:p w:rsidR="00104216" w:rsidRPr="00B009CD" w:rsidRDefault="00104216" w:rsidP="009D67F6">
      <w:pPr>
        <w:pStyle w:val="ListBullet2"/>
        <w:numPr>
          <w:ilvl w:val="0"/>
          <w:numId w:val="33"/>
        </w:numPr>
        <w:ind w:left="360"/>
        <w:rPr>
          <w:sz w:val="10"/>
          <w:lang w:val="en-US"/>
        </w:rPr>
      </w:pPr>
      <w:r w:rsidRPr="00B009CD">
        <w:rPr>
          <w:b/>
          <w:lang w:val="en-US"/>
        </w:rPr>
        <w:t>Stage 4</w:t>
      </w:r>
      <w:r w:rsidRPr="00B009CD">
        <w:rPr>
          <w:lang w:val="en-US"/>
        </w:rPr>
        <w:t xml:space="preserve"> – Decision is reached by </w:t>
      </w:r>
      <w:r w:rsidR="00702B8E">
        <w:rPr>
          <w:lang w:val="en-US"/>
        </w:rPr>
        <w:t>LCETB</w:t>
      </w:r>
      <w:r w:rsidRPr="00B009CD">
        <w:rPr>
          <w:lang w:val="en-US"/>
        </w:rPr>
        <w:t xml:space="preserve"> interview panel and further discussions may be held with selected provider(s) rega</w:t>
      </w:r>
      <w:r>
        <w:rPr>
          <w:lang w:val="en-US"/>
        </w:rPr>
        <w:t xml:space="preserve">rding their service offer and </w:t>
      </w:r>
      <w:r w:rsidR="00702B8E">
        <w:rPr>
          <w:lang w:val="en-US"/>
        </w:rPr>
        <w:t>LCETB</w:t>
      </w:r>
      <w:r w:rsidRPr="00B009CD">
        <w:rPr>
          <w:lang w:val="en-US"/>
        </w:rPr>
        <w:t xml:space="preserve"> needs.</w:t>
      </w:r>
      <w:r w:rsidR="00702B8E">
        <w:rPr>
          <w:lang w:val="en-US"/>
        </w:rPr>
        <w:t xml:space="preserve"> LCETB </w:t>
      </w:r>
      <w:r>
        <w:rPr>
          <w:lang w:val="en-US"/>
        </w:rPr>
        <w:t xml:space="preserve">will make a recommendation to the DCYA RE: </w:t>
      </w:r>
      <w:r w:rsidR="00702B8E">
        <w:rPr>
          <w:lang w:val="en-US"/>
        </w:rPr>
        <w:t xml:space="preserve">Garryowen </w:t>
      </w:r>
      <w:r w:rsidR="009D67F6" w:rsidRPr="009D67F6">
        <w:rPr>
          <w:lang w:val="en-US"/>
        </w:rPr>
        <w:t>Revise</w:t>
      </w:r>
      <w:r w:rsidR="009D67F6">
        <w:rPr>
          <w:lang w:val="en-US"/>
        </w:rPr>
        <w:t xml:space="preserve">d Youth Funding Scheme project </w:t>
      </w:r>
      <w:r>
        <w:rPr>
          <w:lang w:val="en-US"/>
        </w:rPr>
        <w:t>and Financial Allocation needed.</w:t>
      </w:r>
    </w:p>
    <w:p w:rsidR="00104216" w:rsidRPr="00B009CD" w:rsidRDefault="00104216" w:rsidP="009D67F6">
      <w:pPr>
        <w:pStyle w:val="ListBullet2"/>
        <w:numPr>
          <w:ilvl w:val="0"/>
          <w:numId w:val="0"/>
        </w:numPr>
        <w:rPr>
          <w:sz w:val="10"/>
          <w:lang w:val="en-US"/>
        </w:rPr>
      </w:pPr>
    </w:p>
    <w:p w:rsidR="00104216" w:rsidRPr="009D67F6" w:rsidRDefault="00104216" w:rsidP="009D67F6">
      <w:pPr>
        <w:pStyle w:val="ListBullet2"/>
        <w:numPr>
          <w:ilvl w:val="0"/>
          <w:numId w:val="33"/>
        </w:numPr>
        <w:ind w:left="360"/>
        <w:rPr>
          <w:sz w:val="10"/>
          <w:lang w:val="en-US"/>
        </w:rPr>
      </w:pPr>
      <w:r>
        <w:rPr>
          <w:b/>
          <w:lang w:val="en-US"/>
        </w:rPr>
        <w:t>Stage 5</w:t>
      </w:r>
      <w:r>
        <w:rPr>
          <w:lang w:val="en-US"/>
        </w:rPr>
        <w:t xml:space="preserve"> – </w:t>
      </w:r>
      <w:r w:rsidRPr="00335502">
        <w:rPr>
          <w:lang w:val="en-US"/>
        </w:rPr>
        <w:t>DCYA approve the funding</w:t>
      </w:r>
      <w:r>
        <w:rPr>
          <w:lang w:val="en-US"/>
        </w:rPr>
        <w:t>, a Service Level Agreement will be signed between Service Provi</w:t>
      </w:r>
      <w:r w:rsidR="00702B8E">
        <w:rPr>
          <w:lang w:val="en-US"/>
        </w:rPr>
        <w:t>der and LCETB</w:t>
      </w:r>
      <w:r w:rsidRPr="00774D51">
        <w:rPr>
          <w:lang w:val="en-US"/>
        </w:rPr>
        <w:t>.</w:t>
      </w:r>
      <w:r>
        <w:rPr>
          <w:lang w:val="en-US"/>
        </w:rPr>
        <w:t xml:space="preserve"> </w:t>
      </w:r>
    </w:p>
    <w:p w:rsidR="009D67F6" w:rsidRPr="00B009CD" w:rsidRDefault="009D67F6" w:rsidP="00566601">
      <w:pPr>
        <w:pStyle w:val="ListBullet2"/>
        <w:numPr>
          <w:ilvl w:val="0"/>
          <w:numId w:val="0"/>
        </w:numPr>
        <w:rPr>
          <w:sz w:val="10"/>
          <w:lang w:val="en-US"/>
        </w:rPr>
      </w:pPr>
    </w:p>
    <w:p w:rsidR="00104216" w:rsidRPr="00061718" w:rsidRDefault="00104216" w:rsidP="009D67F6">
      <w:pPr>
        <w:pStyle w:val="ListBullet2"/>
        <w:numPr>
          <w:ilvl w:val="0"/>
          <w:numId w:val="33"/>
        </w:numPr>
        <w:ind w:left="360"/>
        <w:rPr>
          <w:b/>
          <w:lang w:val="en-US"/>
        </w:rPr>
      </w:pPr>
      <w:r>
        <w:rPr>
          <w:b/>
          <w:lang w:val="en-US"/>
        </w:rPr>
        <w:t>Stage 6</w:t>
      </w:r>
      <w:r w:rsidRPr="00061718">
        <w:rPr>
          <w:lang w:val="en-US"/>
        </w:rPr>
        <w:t xml:space="preserve"> – New</w:t>
      </w:r>
      <w:r>
        <w:rPr>
          <w:lang w:val="en-US"/>
        </w:rPr>
        <w:t xml:space="preserve"> service</w:t>
      </w:r>
      <w:r w:rsidRPr="00061718">
        <w:rPr>
          <w:lang w:val="en-US"/>
        </w:rPr>
        <w:t xml:space="preserve"> provider</w:t>
      </w:r>
      <w:r>
        <w:rPr>
          <w:lang w:val="en-US"/>
        </w:rPr>
        <w:t>(s)</w:t>
      </w:r>
      <w:r w:rsidRPr="00061718">
        <w:rPr>
          <w:lang w:val="en-US"/>
        </w:rPr>
        <w:t xml:space="preserve"> </w:t>
      </w:r>
      <w:r>
        <w:rPr>
          <w:lang w:val="en-US"/>
        </w:rPr>
        <w:t>undertakes Phase One of the scheme - hiring</w:t>
      </w:r>
      <w:r w:rsidRPr="00061718">
        <w:rPr>
          <w:lang w:val="en-US"/>
        </w:rPr>
        <w:t xml:space="preserve"> staff, provid</w:t>
      </w:r>
      <w:r>
        <w:rPr>
          <w:lang w:val="en-US"/>
        </w:rPr>
        <w:t>ing orientation training, securin</w:t>
      </w:r>
      <w:r w:rsidRPr="00061718">
        <w:rPr>
          <w:lang w:val="en-US"/>
        </w:rPr>
        <w:t>g premises</w:t>
      </w:r>
    </w:p>
    <w:p w:rsidR="00104216" w:rsidRPr="009D67F6" w:rsidRDefault="00104216" w:rsidP="009D67F6">
      <w:pPr>
        <w:pStyle w:val="ListParagraph"/>
        <w:numPr>
          <w:ilvl w:val="0"/>
          <w:numId w:val="33"/>
        </w:numPr>
        <w:ind w:left="360"/>
        <w:rPr>
          <w:lang w:val="en-US"/>
        </w:rPr>
      </w:pPr>
      <w:r w:rsidRPr="009D67F6">
        <w:rPr>
          <w:b/>
          <w:lang w:val="en-US"/>
        </w:rPr>
        <w:t>Stage 7</w:t>
      </w:r>
      <w:r w:rsidRPr="009D67F6">
        <w:rPr>
          <w:lang w:val="en-US"/>
        </w:rPr>
        <w:t xml:space="preserve"> – New service launch and Renewal Application submitted to </w:t>
      </w:r>
      <w:r w:rsidR="00702B8E" w:rsidRPr="009D67F6">
        <w:rPr>
          <w:lang w:val="en-US"/>
        </w:rPr>
        <w:t xml:space="preserve">LCETB </w:t>
      </w:r>
      <w:r w:rsidRPr="009D67F6">
        <w:rPr>
          <w:lang w:val="en-US"/>
        </w:rPr>
        <w:t xml:space="preserve">for Assessment before making recommendation to DCYA for funding </w:t>
      </w:r>
    </w:p>
    <w:p w:rsidR="00E32DC5" w:rsidRDefault="00E32DC5">
      <w:pPr>
        <w:rPr>
          <w:sz w:val="24"/>
          <w:szCs w:val="24"/>
        </w:rPr>
      </w:pPr>
    </w:p>
    <w:p w:rsidR="00566601" w:rsidRDefault="00566601">
      <w:pPr>
        <w:rPr>
          <w:sz w:val="24"/>
          <w:szCs w:val="24"/>
        </w:rPr>
      </w:pPr>
    </w:p>
    <w:p w:rsidR="00566601" w:rsidRDefault="00566601">
      <w:pPr>
        <w:rPr>
          <w:sz w:val="24"/>
          <w:szCs w:val="24"/>
        </w:rPr>
      </w:pPr>
    </w:p>
    <w:p w:rsidR="009D67F6" w:rsidRDefault="009D67F6">
      <w:pPr>
        <w:rPr>
          <w:sz w:val="24"/>
          <w:szCs w:val="24"/>
        </w:rPr>
      </w:pPr>
    </w:p>
    <w:p w:rsidR="00431433" w:rsidRPr="00B17A00" w:rsidRDefault="00431433" w:rsidP="00431433">
      <w:pPr>
        <w:pStyle w:val="BodyText"/>
        <w:rPr>
          <w:b/>
          <w:sz w:val="20"/>
        </w:rPr>
      </w:pPr>
      <w:r w:rsidRPr="00B17A00">
        <w:rPr>
          <w:b/>
          <w:sz w:val="16"/>
        </w:rPr>
        <w:t>*</w:t>
      </w:r>
      <w:r>
        <w:rPr>
          <w:b/>
          <w:sz w:val="16"/>
        </w:rPr>
        <w:t xml:space="preserve"> </w:t>
      </w:r>
      <w:r w:rsidRPr="00B17A00">
        <w:rPr>
          <w:b/>
          <w:sz w:val="20"/>
        </w:rPr>
        <w:t xml:space="preserve">The service provider </w:t>
      </w:r>
      <w:r>
        <w:rPr>
          <w:b/>
          <w:sz w:val="20"/>
        </w:rPr>
        <w:t>must</w:t>
      </w:r>
      <w:r w:rsidRPr="00B17A00">
        <w:rPr>
          <w:b/>
          <w:sz w:val="20"/>
        </w:rPr>
        <w:t xml:space="preserve"> comply with the following:</w:t>
      </w:r>
    </w:p>
    <w:p w:rsidR="00431433" w:rsidRPr="00B17A00" w:rsidRDefault="00431433" w:rsidP="00431433">
      <w:pPr>
        <w:pStyle w:val="NoSpacing"/>
        <w:numPr>
          <w:ilvl w:val="0"/>
          <w:numId w:val="16"/>
        </w:numPr>
        <w:rPr>
          <w:i/>
          <w:sz w:val="20"/>
        </w:rPr>
      </w:pPr>
      <w:r w:rsidRPr="00B17A00">
        <w:rPr>
          <w:i/>
          <w:sz w:val="20"/>
        </w:rPr>
        <w:t>Fire Services Act 1981 &amp; 2003 and any amendments</w:t>
      </w:r>
    </w:p>
    <w:p w:rsidR="00431433" w:rsidRPr="00B17A00" w:rsidRDefault="00431433" w:rsidP="00431433">
      <w:pPr>
        <w:pStyle w:val="NoSpacing"/>
        <w:numPr>
          <w:ilvl w:val="0"/>
          <w:numId w:val="16"/>
        </w:numPr>
        <w:rPr>
          <w:i/>
          <w:sz w:val="20"/>
        </w:rPr>
      </w:pPr>
      <w:r w:rsidRPr="00B17A00">
        <w:rPr>
          <w:i/>
          <w:sz w:val="20"/>
        </w:rPr>
        <w:t>Building Control Act 1990 &amp; 2007 and any amendments</w:t>
      </w:r>
    </w:p>
    <w:p w:rsidR="00431433" w:rsidRPr="00B17A00" w:rsidRDefault="00431433" w:rsidP="00431433">
      <w:pPr>
        <w:pStyle w:val="NoSpacing"/>
        <w:numPr>
          <w:ilvl w:val="0"/>
          <w:numId w:val="16"/>
        </w:numPr>
        <w:rPr>
          <w:i/>
          <w:sz w:val="20"/>
        </w:rPr>
      </w:pPr>
      <w:r w:rsidRPr="00B17A00">
        <w:rPr>
          <w:i/>
          <w:sz w:val="20"/>
        </w:rPr>
        <w:t>Safety, Health and Welfare at works  Act 2005</w:t>
      </w:r>
    </w:p>
    <w:p w:rsidR="00431433" w:rsidRPr="00B17A00" w:rsidRDefault="00431433" w:rsidP="00431433">
      <w:pPr>
        <w:pStyle w:val="NoSpacing"/>
        <w:numPr>
          <w:ilvl w:val="0"/>
          <w:numId w:val="16"/>
        </w:numPr>
        <w:rPr>
          <w:i/>
          <w:sz w:val="20"/>
        </w:rPr>
      </w:pPr>
      <w:r w:rsidRPr="00B17A00">
        <w:rPr>
          <w:i/>
          <w:sz w:val="20"/>
        </w:rPr>
        <w:t>Safety Health and Welfare at Work (General Application) regulations 2007-2016 and any amendments.</w:t>
      </w:r>
    </w:p>
    <w:p w:rsidR="00431433" w:rsidRDefault="00431433" w:rsidP="00431433">
      <w:pPr>
        <w:pStyle w:val="NoSpacing"/>
        <w:numPr>
          <w:ilvl w:val="0"/>
          <w:numId w:val="16"/>
        </w:numPr>
        <w:rPr>
          <w:i/>
          <w:sz w:val="20"/>
        </w:rPr>
      </w:pPr>
      <w:r w:rsidRPr="00B17A00">
        <w:rPr>
          <w:i/>
          <w:sz w:val="20"/>
        </w:rPr>
        <w:t>All statutory regulations and Acts relevant to the service being provided and the premises being provided for this service.</w:t>
      </w:r>
    </w:p>
    <w:p w:rsidR="00431433" w:rsidRDefault="00431433" w:rsidP="00431433">
      <w:pPr>
        <w:pStyle w:val="BodyText"/>
        <w:rPr>
          <w:b/>
          <w:sz w:val="28"/>
        </w:rPr>
      </w:pPr>
    </w:p>
    <w:p w:rsidR="00431433" w:rsidRPr="00D91490" w:rsidRDefault="00431433" w:rsidP="00431433">
      <w:pPr>
        <w:pStyle w:val="BodyText"/>
        <w:numPr>
          <w:ilvl w:val="0"/>
          <w:numId w:val="10"/>
        </w:numPr>
        <w:ind w:left="0"/>
        <w:rPr>
          <w:b/>
          <w:sz w:val="28"/>
        </w:rPr>
      </w:pPr>
      <w:r w:rsidRPr="00D91490">
        <w:rPr>
          <w:rFonts w:eastAsia="Times New Roman" w:cs="Arial"/>
          <w:b/>
          <w:iCs/>
          <w:sz w:val="28"/>
          <w:szCs w:val="24"/>
          <w:lang w:val="en-GB"/>
        </w:rPr>
        <w:t xml:space="preserve">Selection Process </w:t>
      </w:r>
      <w:r>
        <w:rPr>
          <w:rFonts w:eastAsia="Times New Roman" w:cs="Arial"/>
          <w:b/>
          <w:iCs/>
          <w:sz w:val="28"/>
          <w:szCs w:val="24"/>
          <w:lang w:val="en-GB"/>
        </w:rPr>
        <w:t>- (</w:t>
      </w:r>
      <w:r w:rsidRPr="009D5F89">
        <w:rPr>
          <w:rFonts w:eastAsia="Times New Roman" w:cs="Arial"/>
          <w:b/>
          <w:iCs/>
          <w:sz w:val="28"/>
          <w:szCs w:val="24"/>
          <w:u w:val="single"/>
          <w:lang w:val="en-GB"/>
        </w:rPr>
        <w:t>Application Form &amp; Interviews</w:t>
      </w:r>
      <w:r>
        <w:rPr>
          <w:rFonts w:eastAsia="Times New Roman" w:cs="Arial"/>
          <w:b/>
          <w:iCs/>
          <w:sz w:val="28"/>
          <w:szCs w:val="24"/>
          <w:u w:val="single"/>
          <w:lang w:val="en-GB"/>
        </w:rPr>
        <w:t>)</w:t>
      </w:r>
    </w:p>
    <w:p w:rsidR="00431433" w:rsidRDefault="00431433" w:rsidP="00431433">
      <w:pPr>
        <w:spacing w:after="0" w:line="240" w:lineRule="auto"/>
        <w:contextualSpacing/>
        <w:rPr>
          <w:rFonts w:eastAsia="Times New Roman" w:cs="Arial"/>
          <w:iCs/>
          <w:sz w:val="24"/>
          <w:szCs w:val="24"/>
          <w:lang w:val="en-GB"/>
        </w:rPr>
      </w:pPr>
      <w:r>
        <w:rPr>
          <w:rFonts w:eastAsia="Times New Roman" w:cs="Arial"/>
          <w:iCs/>
          <w:sz w:val="24"/>
          <w:szCs w:val="24"/>
          <w:lang w:val="en-GB"/>
        </w:rPr>
        <w:t xml:space="preserve">Successful awarding of contract will be based upon assessment of both the </w:t>
      </w:r>
      <w:r w:rsidRPr="009C6855">
        <w:rPr>
          <w:rFonts w:eastAsia="Times New Roman" w:cs="Arial"/>
          <w:iCs/>
          <w:sz w:val="24"/>
          <w:szCs w:val="24"/>
          <w:u w:val="single"/>
          <w:lang w:val="en-GB"/>
        </w:rPr>
        <w:t>application form and Interviews.</w:t>
      </w:r>
      <w:r>
        <w:rPr>
          <w:rFonts w:eastAsia="Times New Roman" w:cs="Arial"/>
          <w:iCs/>
          <w:sz w:val="24"/>
          <w:szCs w:val="24"/>
          <w:lang w:val="en-GB"/>
        </w:rPr>
        <w:t xml:space="preserve"> Both the application form and the interview will be marked under the four criteria below. T</w:t>
      </w:r>
      <w:r w:rsidRPr="006365FC">
        <w:rPr>
          <w:rFonts w:eastAsia="Times New Roman" w:cs="Arial"/>
          <w:iCs/>
          <w:sz w:val="24"/>
          <w:szCs w:val="24"/>
          <w:lang w:val="en-GB"/>
        </w:rPr>
        <w:t>he Interview Process will consist of the following:</w:t>
      </w:r>
    </w:p>
    <w:p w:rsidR="00431433" w:rsidRPr="006365FC" w:rsidRDefault="00431433" w:rsidP="00431433">
      <w:pPr>
        <w:spacing w:after="0" w:line="240" w:lineRule="auto"/>
        <w:contextualSpacing/>
        <w:rPr>
          <w:rFonts w:eastAsia="Times New Roman" w:cs="Arial"/>
          <w:iCs/>
          <w:sz w:val="24"/>
          <w:szCs w:val="24"/>
          <w:lang w:val="en-GB"/>
        </w:rPr>
      </w:pPr>
    </w:p>
    <w:p w:rsidR="00431433" w:rsidRDefault="00431433" w:rsidP="00431433">
      <w:pPr>
        <w:pStyle w:val="ListParagraph"/>
        <w:numPr>
          <w:ilvl w:val="0"/>
          <w:numId w:val="18"/>
        </w:numPr>
        <w:spacing w:after="0" w:line="240" w:lineRule="auto"/>
        <w:ind w:left="426"/>
        <w:rPr>
          <w:rFonts w:eastAsia="Times New Roman" w:cs="Arial"/>
          <w:iCs/>
          <w:sz w:val="24"/>
          <w:szCs w:val="24"/>
          <w:lang w:val="en-GB"/>
        </w:rPr>
      </w:pPr>
      <w:r w:rsidRPr="00185927">
        <w:rPr>
          <w:rFonts w:eastAsia="Times New Roman" w:cs="Arial"/>
          <w:b/>
          <w:iCs/>
          <w:sz w:val="24"/>
          <w:szCs w:val="24"/>
          <w:lang w:val="en-GB"/>
        </w:rPr>
        <w:t>A presentation</w:t>
      </w:r>
      <w:r w:rsidRPr="006365FC">
        <w:rPr>
          <w:rFonts w:eastAsia="Times New Roman" w:cs="Arial"/>
          <w:iCs/>
          <w:sz w:val="24"/>
          <w:szCs w:val="24"/>
          <w:lang w:val="en-GB"/>
        </w:rPr>
        <w:t xml:space="preserve"> by the applicant </w:t>
      </w:r>
      <w:r>
        <w:rPr>
          <w:rFonts w:eastAsia="Times New Roman" w:cs="Arial"/>
          <w:iCs/>
          <w:sz w:val="24"/>
          <w:szCs w:val="24"/>
          <w:lang w:val="en-GB"/>
        </w:rPr>
        <w:t>organisation(s)</w:t>
      </w:r>
      <w:r w:rsidRPr="006365FC">
        <w:rPr>
          <w:rFonts w:eastAsia="Times New Roman" w:cs="Arial"/>
          <w:iCs/>
          <w:sz w:val="24"/>
          <w:szCs w:val="24"/>
          <w:lang w:val="en-GB"/>
        </w:rPr>
        <w:t xml:space="preserve"> </w:t>
      </w:r>
      <w:r w:rsidR="00126C8D">
        <w:rPr>
          <w:rFonts w:eastAsia="Times New Roman" w:cs="Arial"/>
          <w:b/>
          <w:iCs/>
          <w:sz w:val="24"/>
          <w:szCs w:val="24"/>
          <w:lang w:val="en-GB"/>
        </w:rPr>
        <w:t xml:space="preserve">(20 </w:t>
      </w:r>
      <w:r w:rsidRPr="00126C8D">
        <w:rPr>
          <w:rFonts w:eastAsia="Times New Roman" w:cs="Arial"/>
          <w:b/>
          <w:iCs/>
          <w:sz w:val="24"/>
          <w:szCs w:val="24"/>
          <w:lang w:val="en-GB"/>
        </w:rPr>
        <w:t>mins</w:t>
      </w:r>
      <w:r w:rsidR="00126C8D">
        <w:rPr>
          <w:rFonts w:eastAsia="Times New Roman" w:cs="Arial"/>
          <w:b/>
          <w:iCs/>
          <w:sz w:val="24"/>
          <w:szCs w:val="24"/>
          <w:lang w:val="en-GB"/>
        </w:rPr>
        <w:t xml:space="preserve"> max</w:t>
      </w:r>
      <w:r w:rsidRPr="00126C8D">
        <w:rPr>
          <w:rFonts w:eastAsia="Times New Roman" w:cs="Arial"/>
          <w:b/>
          <w:iCs/>
          <w:sz w:val="24"/>
          <w:szCs w:val="24"/>
          <w:lang w:val="en-GB"/>
        </w:rPr>
        <w:t>)</w:t>
      </w:r>
      <w:r>
        <w:rPr>
          <w:rFonts w:eastAsia="Times New Roman" w:cs="Arial"/>
          <w:iCs/>
          <w:sz w:val="24"/>
          <w:szCs w:val="24"/>
          <w:lang w:val="en-GB"/>
        </w:rPr>
        <w:t xml:space="preserve"> that addresses the following four areas:</w:t>
      </w:r>
    </w:p>
    <w:p w:rsidR="00431433" w:rsidRPr="000B2AFB" w:rsidRDefault="00431433" w:rsidP="00431433">
      <w:pPr>
        <w:pStyle w:val="ListParagraph"/>
        <w:numPr>
          <w:ilvl w:val="0"/>
          <w:numId w:val="16"/>
        </w:numPr>
        <w:ind w:left="993"/>
        <w:rPr>
          <w:rFonts w:cs="Arial"/>
          <w:i/>
          <w:sz w:val="24"/>
        </w:rPr>
      </w:pPr>
      <w:r w:rsidRPr="000B2AFB">
        <w:rPr>
          <w:rFonts w:cs="Arial"/>
          <w:i/>
          <w:sz w:val="24"/>
        </w:rPr>
        <w:t xml:space="preserve">Response to identification of need / Impact </w:t>
      </w:r>
    </w:p>
    <w:p w:rsidR="00431433" w:rsidRPr="000B2AFB" w:rsidRDefault="00431433" w:rsidP="00431433">
      <w:pPr>
        <w:pStyle w:val="ListParagraph"/>
        <w:numPr>
          <w:ilvl w:val="0"/>
          <w:numId w:val="16"/>
        </w:numPr>
        <w:ind w:left="993"/>
        <w:rPr>
          <w:rFonts w:cs="Arial"/>
          <w:i/>
          <w:sz w:val="24"/>
        </w:rPr>
      </w:pPr>
      <w:r w:rsidRPr="000B2AFB">
        <w:rPr>
          <w:rFonts w:cs="Arial"/>
          <w:i/>
          <w:sz w:val="24"/>
        </w:rPr>
        <w:t xml:space="preserve">Experience </w:t>
      </w:r>
    </w:p>
    <w:p w:rsidR="00431433" w:rsidRPr="000B2AFB" w:rsidRDefault="00431433" w:rsidP="00431433">
      <w:pPr>
        <w:pStyle w:val="ListParagraph"/>
        <w:numPr>
          <w:ilvl w:val="0"/>
          <w:numId w:val="16"/>
        </w:numPr>
        <w:ind w:left="993"/>
        <w:rPr>
          <w:rFonts w:cs="Arial"/>
          <w:i/>
          <w:sz w:val="24"/>
        </w:rPr>
      </w:pPr>
      <w:r w:rsidRPr="000B2AFB">
        <w:rPr>
          <w:rFonts w:cs="Arial"/>
          <w:i/>
          <w:sz w:val="24"/>
        </w:rPr>
        <w:t>Capacity of organisation to engage in this process</w:t>
      </w:r>
    </w:p>
    <w:p w:rsidR="00431433" w:rsidRPr="000B2AFB" w:rsidRDefault="00431433" w:rsidP="00431433">
      <w:pPr>
        <w:pStyle w:val="ListParagraph"/>
        <w:numPr>
          <w:ilvl w:val="0"/>
          <w:numId w:val="16"/>
        </w:numPr>
        <w:spacing w:after="0" w:line="240" w:lineRule="auto"/>
        <w:ind w:left="993"/>
        <w:rPr>
          <w:rFonts w:eastAsia="Times New Roman" w:cs="Arial"/>
          <w:i/>
          <w:iCs/>
          <w:sz w:val="24"/>
          <w:szCs w:val="24"/>
          <w:lang w:val="en-GB"/>
        </w:rPr>
      </w:pPr>
      <w:r w:rsidRPr="000B2AFB">
        <w:rPr>
          <w:rFonts w:cs="Arial"/>
          <w:i/>
          <w:color w:val="0D0D0D"/>
          <w:sz w:val="24"/>
          <w:lang w:val="en-US"/>
        </w:rPr>
        <w:t>Additionality</w:t>
      </w:r>
    </w:p>
    <w:p w:rsidR="00431433" w:rsidRDefault="00431433" w:rsidP="00431433">
      <w:pPr>
        <w:pStyle w:val="ListParagraph"/>
        <w:ind w:left="1440"/>
        <w:rPr>
          <w:i/>
          <w:lang w:val="en-US"/>
        </w:rPr>
      </w:pPr>
    </w:p>
    <w:p w:rsidR="00431433" w:rsidRDefault="00431433" w:rsidP="00431433">
      <w:pPr>
        <w:pStyle w:val="ListParagraph"/>
        <w:numPr>
          <w:ilvl w:val="0"/>
          <w:numId w:val="18"/>
        </w:numPr>
        <w:spacing w:after="0" w:line="240" w:lineRule="auto"/>
        <w:ind w:left="426"/>
        <w:rPr>
          <w:rFonts w:eastAsia="Times New Roman" w:cs="Arial"/>
          <w:iCs/>
          <w:sz w:val="24"/>
          <w:szCs w:val="24"/>
          <w:lang w:val="en-GB"/>
        </w:rPr>
      </w:pPr>
      <w:r w:rsidRPr="00BC39D4">
        <w:rPr>
          <w:rFonts w:eastAsia="Times New Roman" w:cs="Arial"/>
          <w:b/>
          <w:iCs/>
          <w:sz w:val="24"/>
          <w:szCs w:val="24"/>
          <w:lang w:val="en-GB"/>
        </w:rPr>
        <w:t>Interview questions</w:t>
      </w:r>
      <w:r w:rsidRPr="00BC39D4">
        <w:rPr>
          <w:rFonts w:eastAsia="Times New Roman" w:cs="Arial"/>
          <w:iCs/>
          <w:sz w:val="24"/>
          <w:szCs w:val="24"/>
          <w:lang w:val="en-GB"/>
        </w:rPr>
        <w:t xml:space="preserve"> </w:t>
      </w:r>
    </w:p>
    <w:p w:rsidR="00431433" w:rsidRPr="00566601" w:rsidRDefault="00431433" w:rsidP="00566601">
      <w:pPr>
        <w:spacing w:after="0" w:line="240" w:lineRule="auto"/>
        <w:ind w:left="66"/>
        <w:rPr>
          <w:rFonts w:eastAsia="Times New Roman" w:cs="Arial"/>
          <w:iCs/>
          <w:sz w:val="24"/>
          <w:szCs w:val="24"/>
          <w:lang w:val="en-GB"/>
        </w:rPr>
      </w:pPr>
      <w:r w:rsidRPr="00BC39D4">
        <w:rPr>
          <w:rFonts w:eastAsia="Times New Roman" w:cs="Arial"/>
          <w:iCs/>
          <w:sz w:val="24"/>
          <w:szCs w:val="24"/>
          <w:lang w:val="en-GB"/>
        </w:rPr>
        <w:t>(</w:t>
      </w:r>
      <w:r w:rsidRPr="00BC39D4">
        <w:rPr>
          <w:rFonts w:eastAsia="Times New Roman" w:cs="Arial"/>
          <w:color w:val="0D0D0D"/>
          <w:szCs w:val="20"/>
          <w:lang w:val="en-US"/>
        </w:rPr>
        <w:t xml:space="preserve">The maximum score is 130 marks and a minimum of 70% must be scored </w:t>
      </w:r>
      <w:r w:rsidRPr="00424F87">
        <w:rPr>
          <w:rFonts w:eastAsia="Times New Roman" w:cs="Arial"/>
          <w:color w:val="0D0D0D"/>
          <w:szCs w:val="20"/>
          <w:u w:val="single"/>
          <w:lang w:val="en-US"/>
        </w:rPr>
        <w:t>in each area</w:t>
      </w:r>
      <w:r w:rsidRPr="00BC39D4">
        <w:rPr>
          <w:rFonts w:eastAsia="Times New Roman" w:cs="Arial"/>
          <w:color w:val="0D0D0D"/>
          <w:szCs w:val="20"/>
          <w:lang w:val="en-US"/>
        </w:rPr>
        <w:t xml:space="preserve"> to qualify for </w:t>
      </w:r>
      <w:r>
        <w:rPr>
          <w:rFonts w:eastAsia="Times New Roman" w:cs="Arial"/>
          <w:color w:val="0D0D0D"/>
          <w:szCs w:val="20"/>
          <w:lang w:val="en-US"/>
        </w:rPr>
        <w:t>awarding of the contract</w:t>
      </w:r>
      <w:r w:rsidRPr="00BC39D4">
        <w:rPr>
          <w:rFonts w:eastAsia="Times New Roman" w:cs="Arial"/>
          <w:color w:val="0D0D0D"/>
          <w:szCs w:val="20"/>
          <w:lang w:val="en-US"/>
        </w:rPr>
        <w:t>):</w:t>
      </w:r>
    </w:p>
    <w:p w:rsidR="00431433" w:rsidRPr="00033AB2" w:rsidRDefault="00431433" w:rsidP="00431433">
      <w:pPr>
        <w:spacing w:after="0" w:line="240" w:lineRule="atLeast"/>
        <w:contextualSpacing/>
        <w:rPr>
          <w:rFonts w:ascii="Arial" w:eastAsia="Times New Roman" w:hAnsi="Arial" w:cs="Arial"/>
          <w:color w:val="0D0D0D"/>
          <w:sz w:val="20"/>
          <w:szCs w:val="20"/>
          <w:lang w:val="en-US"/>
        </w:rPr>
      </w:pPr>
    </w:p>
    <w:tbl>
      <w:tblPr>
        <w:tblStyle w:val="TableGrid"/>
        <w:tblW w:w="10065" w:type="dxa"/>
        <w:tblInd w:w="-431" w:type="dxa"/>
        <w:tblLook w:val="04A0" w:firstRow="1" w:lastRow="0" w:firstColumn="1" w:lastColumn="0" w:noHBand="0" w:noVBand="1"/>
      </w:tblPr>
      <w:tblGrid>
        <w:gridCol w:w="485"/>
        <w:gridCol w:w="8543"/>
        <w:gridCol w:w="1037"/>
      </w:tblGrid>
      <w:tr w:rsidR="00431433" w:rsidRPr="00103718" w:rsidTr="00A70FEE">
        <w:trPr>
          <w:trHeight w:val="788"/>
        </w:trPr>
        <w:tc>
          <w:tcPr>
            <w:tcW w:w="485" w:type="dxa"/>
            <w:shd w:val="clear" w:color="auto" w:fill="F2F2F2" w:themeFill="background1" w:themeFillShade="F2"/>
          </w:tcPr>
          <w:p w:rsidR="00431433" w:rsidRPr="00103718" w:rsidRDefault="00431433" w:rsidP="00A70FEE">
            <w:pPr>
              <w:jc w:val="center"/>
              <w:rPr>
                <w:rFonts w:cs="Arial"/>
                <w:b/>
                <w:sz w:val="22"/>
                <w:szCs w:val="22"/>
              </w:rPr>
            </w:pPr>
          </w:p>
          <w:p w:rsidR="00431433" w:rsidRPr="00103718" w:rsidRDefault="00431433" w:rsidP="00A70FEE">
            <w:pPr>
              <w:jc w:val="center"/>
              <w:rPr>
                <w:rFonts w:cs="Arial"/>
                <w:b/>
                <w:sz w:val="22"/>
                <w:szCs w:val="22"/>
              </w:rPr>
            </w:pPr>
            <w:r w:rsidRPr="00103718">
              <w:rPr>
                <w:rFonts w:cs="Arial"/>
                <w:b/>
                <w:sz w:val="22"/>
                <w:szCs w:val="22"/>
              </w:rPr>
              <w:t>No</w:t>
            </w:r>
          </w:p>
        </w:tc>
        <w:tc>
          <w:tcPr>
            <w:tcW w:w="8543" w:type="dxa"/>
            <w:shd w:val="clear" w:color="auto" w:fill="F2F2F2" w:themeFill="background1" w:themeFillShade="F2"/>
          </w:tcPr>
          <w:p w:rsidR="00431433" w:rsidRPr="00103718" w:rsidRDefault="00431433" w:rsidP="00A70FEE">
            <w:pPr>
              <w:jc w:val="center"/>
              <w:rPr>
                <w:rFonts w:asciiTheme="minorHAnsi" w:hAnsiTheme="minorHAnsi" w:cs="Arial"/>
                <w:b/>
                <w:sz w:val="22"/>
                <w:szCs w:val="22"/>
              </w:rPr>
            </w:pPr>
          </w:p>
          <w:p w:rsidR="00431433" w:rsidRPr="00103718" w:rsidRDefault="00431433" w:rsidP="00A70FEE">
            <w:pPr>
              <w:jc w:val="center"/>
              <w:rPr>
                <w:rFonts w:asciiTheme="minorHAnsi" w:hAnsiTheme="minorHAnsi" w:cs="Arial"/>
                <w:b/>
                <w:sz w:val="22"/>
                <w:szCs w:val="22"/>
              </w:rPr>
            </w:pPr>
            <w:r w:rsidRPr="00103718">
              <w:rPr>
                <w:rFonts w:asciiTheme="minorHAnsi" w:hAnsiTheme="minorHAnsi" w:cs="Arial"/>
                <w:b/>
                <w:sz w:val="22"/>
                <w:szCs w:val="22"/>
              </w:rPr>
              <w:t>Selection criteria</w:t>
            </w:r>
          </w:p>
        </w:tc>
        <w:tc>
          <w:tcPr>
            <w:tcW w:w="1037" w:type="dxa"/>
            <w:shd w:val="clear" w:color="auto" w:fill="F2F2F2" w:themeFill="background1" w:themeFillShade="F2"/>
          </w:tcPr>
          <w:p w:rsidR="00431433" w:rsidRPr="00103718" w:rsidRDefault="00431433" w:rsidP="00A70FEE">
            <w:pPr>
              <w:jc w:val="center"/>
              <w:rPr>
                <w:rFonts w:asciiTheme="minorHAnsi" w:hAnsiTheme="minorHAnsi" w:cs="Arial"/>
                <w:b/>
                <w:sz w:val="14"/>
                <w:szCs w:val="22"/>
              </w:rPr>
            </w:pPr>
          </w:p>
          <w:p w:rsidR="00431433" w:rsidRPr="00103718" w:rsidRDefault="00431433" w:rsidP="00A70FEE">
            <w:pPr>
              <w:jc w:val="center"/>
              <w:rPr>
                <w:rFonts w:asciiTheme="minorHAnsi" w:hAnsiTheme="minorHAnsi" w:cs="Arial"/>
                <w:b/>
                <w:szCs w:val="22"/>
              </w:rPr>
            </w:pPr>
            <w:r w:rsidRPr="00103718">
              <w:rPr>
                <w:rFonts w:asciiTheme="minorHAnsi" w:hAnsiTheme="minorHAnsi" w:cs="Arial"/>
                <w:b/>
                <w:szCs w:val="22"/>
              </w:rPr>
              <w:t>Marks available</w:t>
            </w:r>
          </w:p>
          <w:p w:rsidR="00431433" w:rsidRPr="00103718" w:rsidRDefault="00431433" w:rsidP="00A70FEE">
            <w:pPr>
              <w:jc w:val="center"/>
              <w:rPr>
                <w:rFonts w:asciiTheme="minorHAnsi" w:hAnsiTheme="minorHAnsi" w:cs="Arial"/>
                <w:b/>
                <w:sz w:val="14"/>
                <w:szCs w:val="22"/>
              </w:rPr>
            </w:pPr>
          </w:p>
        </w:tc>
      </w:tr>
      <w:tr w:rsidR="00431433" w:rsidRPr="00033AB2" w:rsidTr="00A70FEE">
        <w:trPr>
          <w:trHeight w:val="459"/>
        </w:trPr>
        <w:tc>
          <w:tcPr>
            <w:tcW w:w="485" w:type="dxa"/>
          </w:tcPr>
          <w:p w:rsidR="00431433" w:rsidRPr="00103718" w:rsidRDefault="00431433" w:rsidP="00A70FEE">
            <w:pPr>
              <w:rPr>
                <w:rFonts w:cs="Arial"/>
                <w:b/>
              </w:rPr>
            </w:pPr>
          </w:p>
          <w:p w:rsidR="00431433" w:rsidRPr="00103718" w:rsidRDefault="00431433" w:rsidP="00A70FEE">
            <w:pPr>
              <w:rPr>
                <w:rFonts w:cs="Arial"/>
                <w:b/>
              </w:rPr>
            </w:pPr>
            <w:r w:rsidRPr="00103718">
              <w:rPr>
                <w:rFonts w:cs="Arial"/>
                <w:b/>
              </w:rPr>
              <w:t>1</w:t>
            </w:r>
          </w:p>
        </w:tc>
        <w:tc>
          <w:tcPr>
            <w:tcW w:w="8543" w:type="dxa"/>
          </w:tcPr>
          <w:p w:rsidR="00431433" w:rsidRPr="00103718" w:rsidRDefault="00431433" w:rsidP="00A70FEE">
            <w:pPr>
              <w:rPr>
                <w:rFonts w:asciiTheme="minorHAnsi" w:hAnsiTheme="minorHAnsi" w:cs="Arial"/>
                <w:b/>
              </w:rPr>
            </w:pPr>
          </w:p>
          <w:p w:rsidR="00431433" w:rsidRPr="00103718" w:rsidRDefault="00431433" w:rsidP="00A70FEE">
            <w:pPr>
              <w:shd w:val="clear" w:color="auto" w:fill="F2F2F2" w:themeFill="background1" w:themeFillShade="F2"/>
              <w:rPr>
                <w:rFonts w:asciiTheme="minorHAnsi" w:hAnsiTheme="minorHAnsi" w:cs="Arial"/>
                <w:b/>
                <w:sz w:val="22"/>
              </w:rPr>
            </w:pPr>
            <w:r w:rsidRPr="00103718">
              <w:rPr>
                <w:rFonts w:asciiTheme="minorHAnsi" w:hAnsiTheme="minorHAnsi" w:cs="Arial"/>
                <w:b/>
                <w:sz w:val="22"/>
              </w:rPr>
              <w:t xml:space="preserve">Response to identification of need / Impact </w:t>
            </w:r>
          </w:p>
          <w:p w:rsidR="00431433" w:rsidRPr="00103718" w:rsidRDefault="00431433" w:rsidP="00A70FEE">
            <w:pPr>
              <w:rPr>
                <w:rFonts w:asciiTheme="minorHAnsi" w:hAnsiTheme="minorHAnsi" w:cs="Arial"/>
                <w:b/>
              </w:rPr>
            </w:pPr>
          </w:p>
          <w:p w:rsidR="00431433" w:rsidRPr="00103718" w:rsidRDefault="00431433" w:rsidP="00A70FEE">
            <w:pPr>
              <w:rPr>
                <w:rFonts w:asciiTheme="minorHAnsi" w:hAnsiTheme="minorHAnsi" w:cs="Arial"/>
              </w:rPr>
            </w:pPr>
            <w:r w:rsidRPr="00103718">
              <w:rPr>
                <w:rFonts w:asciiTheme="minorHAnsi" w:hAnsiTheme="minorHAnsi" w:cs="Arial"/>
              </w:rPr>
              <w:t xml:space="preserve">The degree to which the submission has demonstrated: </w:t>
            </w:r>
          </w:p>
          <w:p w:rsidR="00431433" w:rsidRPr="00103718" w:rsidRDefault="00431433" w:rsidP="00A70FEE">
            <w:pPr>
              <w:rPr>
                <w:rFonts w:asciiTheme="minorHAnsi" w:hAnsiTheme="minorHAnsi" w:cs="Arial"/>
              </w:rPr>
            </w:pPr>
          </w:p>
          <w:p w:rsidR="00431433" w:rsidRPr="00103718" w:rsidRDefault="00431433" w:rsidP="00431433">
            <w:pPr>
              <w:numPr>
                <w:ilvl w:val="0"/>
                <w:numId w:val="19"/>
              </w:numPr>
              <w:contextualSpacing/>
              <w:rPr>
                <w:rFonts w:asciiTheme="minorHAnsi" w:hAnsiTheme="minorHAnsi" w:cs="Arial"/>
                <w:i/>
              </w:rPr>
            </w:pPr>
            <w:r w:rsidRPr="00103718">
              <w:rPr>
                <w:rFonts w:asciiTheme="minorHAnsi" w:hAnsiTheme="minorHAnsi" w:cs="Arial"/>
                <w:i/>
              </w:rPr>
              <w:t xml:space="preserve">A  </w:t>
            </w:r>
            <w:r w:rsidRPr="009D67F6">
              <w:rPr>
                <w:rFonts w:asciiTheme="minorHAnsi" w:hAnsiTheme="minorHAnsi" w:cs="Arial"/>
                <w:i/>
              </w:rPr>
              <w:t>plan</w:t>
            </w:r>
            <w:r w:rsidRPr="00103718">
              <w:rPr>
                <w:rFonts w:asciiTheme="minorHAnsi" w:hAnsiTheme="minorHAnsi" w:cs="Arial"/>
                <w:i/>
              </w:rPr>
              <w:t xml:space="preserve"> which addresses the needs identified by the </w:t>
            </w:r>
            <w:r w:rsidR="009D67F6">
              <w:rPr>
                <w:rFonts w:asciiTheme="minorHAnsi" w:hAnsiTheme="minorHAnsi" w:cs="Arial"/>
                <w:i/>
              </w:rPr>
              <w:t>LC</w:t>
            </w:r>
            <w:r w:rsidRPr="00103718">
              <w:rPr>
                <w:rFonts w:asciiTheme="minorHAnsi" w:hAnsiTheme="minorHAnsi" w:cs="Arial"/>
                <w:i/>
              </w:rPr>
              <w:t xml:space="preserve">ETB </w:t>
            </w:r>
          </w:p>
          <w:p w:rsidR="00431433" w:rsidRPr="00103718" w:rsidRDefault="00431433" w:rsidP="00A70FEE">
            <w:pPr>
              <w:ind w:left="720"/>
              <w:contextualSpacing/>
              <w:rPr>
                <w:rFonts w:asciiTheme="minorHAnsi" w:hAnsiTheme="minorHAnsi" w:cs="Arial"/>
                <w:i/>
              </w:rPr>
            </w:pPr>
          </w:p>
          <w:p w:rsidR="00431433" w:rsidRPr="00E5317A" w:rsidRDefault="00431433" w:rsidP="00431433">
            <w:pPr>
              <w:numPr>
                <w:ilvl w:val="0"/>
                <w:numId w:val="19"/>
              </w:numPr>
              <w:contextualSpacing/>
              <w:rPr>
                <w:rFonts w:asciiTheme="minorHAnsi" w:hAnsiTheme="minorHAnsi" w:cs="Arial"/>
                <w:i/>
              </w:rPr>
            </w:pPr>
            <w:r w:rsidRPr="00103718">
              <w:rPr>
                <w:rFonts w:asciiTheme="minorHAnsi" w:hAnsiTheme="minorHAnsi" w:cs="Arial"/>
                <w:i/>
              </w:rPr>
              <w:t>The suitability of the methods the service will deploy to engage the youn</w:t>
            </w:r>
            <w:r>
              <w:rPr>
                <w:rFonts w:asciiTheme="minorHAnsi" w:hAnsiTheme="minorHAnsi" w:cs="Arial"/>
                <w:i/>
              </w:rPr>
              <w:t xml:space="preserve">g people identified by </w:t>
            </w:r>
            <w:r w:rsidR="00702B8E">
              <w:rPr>
                <w:rFonts w:asciiTheme="minorHAnsi" w:hAnsiTheme="minorHAnsi" w:cs="Arial"/>
                <w:i/>
              </w:rPr>
              <w:t>LCETB</w:t>
            </w:r>
          </w:p>
          <w:p w:rsidR="00431433" w:rsidRPr="00E5317A" w:rsidRDefault="00431433" w:rsidP="00A70FEE">
            <w:pPr>
              <w:ind w:left="720" w:firstLine="45"/>
              <w:contextualSpacing/>
              <w:rPr>
                <w:rFonts w:asciiTheme="minorHAnsi" w:hAnsiTheme="minorHAnsi" w:cs="Arial"/>
                <w:i/>
              </w:rPr>
            </w:pPr>
          </w:p>
          <w:p w:rsidR="00431433" w:rsidRPr="00103718" w:rsidRDefault="00431433" w:rsidP="00431433">
            <w:pPr>
              <w:numPr>
                <w:ilvl w:val="0"/>
                <w:numId w:val="19"/>
              </w:numPr>
              <w:contextualSpacing/>
              <w:rPr>
                <w:rFonts w:asciiTheme="minorHAnsi" w:hAnsiTheme="minorHAnsi" w:cs="Arial"/>
                <w:i/>
              </w:rPr>
            </w:pPr>
            <w:r w:rsidRPr="00103718">
              <w:rPr>
                <w:rFonts w:asciiTheme="minorHAnsi" w:hAnsiTheme="minorHAnsi" w:cs="Arial"/>
                <w:i/>
              </w:rPr>
              <w:t xml:space="preserve">The projected numbers of young people to be engaged with </w:t>
            </w:r>
            <w:r w:rsidRPr="00103718">
              <w:rPr>
                <w:rFonts w:asciiTheme="minorHAnsi" w:hAnsiTheme="minorHAnsi" w:cs="Arial"/>
              </w:rPr>
              <w:t>(appropriate for the local environment, the needs identified and the methods deployed)</w:t>
            </w:r>
            <w:r w:rsidRPr="00103718">
              <w:rPr>
                <w:rFonts w:asciiTheme="minorHAnsi" w:hAnsiTheme="minorHAnsi" w:cs="Arial"/>
                <w:i/>
              </w:rPr>
              <w:t xml:space="preserve">   </w:t>
            </w:r>
          </w:p>
          <w:p w:rsidR="00431433" w:rsidRPr="00103718" w:rsidRDefault="00431433" w:rsidP="00A70FEE">
            <w:pPr>
              <w:pStyle w:val="ListParagraph"/>
              <w:rPr>
                <w:rFonts w:asciiTheme="minorHAnsi" w:hAnsiTheme="minorHAnsi" w:cs="Arial"/>
                <w:i/>
              </w:rPr>
            </w:pPr>
          </w:p>
          <w:p w:rsidR="00431433" w:rsidRPr="00103718" w:rsidRDefault="00431433" w:rsidP="00431433">
            <w:pPr>
              <w:numPr>
                <w:ilvl w:val="0"/>
                <w:numId w:val="19"/>
              </w:numPr>
              <w:contextualSpacing/>
              <w:rPr>
                <w:rFonts w:asciiTheme="minorHAnsi" w:hAnsiTheme="minorHAnsi" w:cs="Arial"/>
                <w:i/>
              </w:rPr>
            </w:pPr>
            <w:r w:rsidRPr="00103718">
              <w:rPr>
                <w:rFonts w:asciiTheme="minorHAnsi" w:hAnsiTheme="minorHAnsi" w:cs="Arial"/>
                <w:i/>
              </w:rPr>
              <w:t>Ability to facilitate young people’s involvement in the co-design of the project</w:t>
            </w:r>
          </w:p>
          <w:p w:rsidR="00431433" w:rsidRPr="00103718" w:rsidRDefault="00431433" w:rsidP="00A70FEE">
            <w:pPr>
              <w:rPr>
                <w:rFonts w:asciiTheme="minorHAnsi" w:hAnsiTheme="minorHAnsi" w:cs="Arial"/>
              </w:rPr>
            </w:pPr>
          </w:p>
        </w:tc>
        <w:tc>
          <w:tcPr>
            <w:tcW w:w="1037" w:type="dxa"/>
          </w:tcPr>
          <w:p w:rsidR="00431433" w:rsidRPr="00DB5C63" w:rsidRDefault="00431433" w:rsidP="00A70FEE">
            <w:pPr>
              <w:rPr>
                <w:rFonts w:asciiTheme="minorHAnsi" w:hAnsiTheme="minorHAnsi" w:cs="Arial"/>
                <w:b/>
                <w:sz w:val="22"/>
                <w:szCs w:val="22"/>
              </w:rPr>
            </w:pPr>
          </w:p>
          <w:p w:rsidR="00431433" w:rsidRPr="00DB5C63" w:rsidRDefault="00431433" w:rsidP="00A70FEE">
            <w:pPr>
              <w:rPr>
                <w:rFonts w:asciiTheme="minorHAnsi" w:hAnsiTheme="minorHAnsi" w:cs="Arial"/>
                <w:b/>
                <w:sz w:val="22"/>
                <w:szCs w:val="22"/>
              </w:rPr>
            </w:pPr>
          </w:p>
          <w:p w:rsidR="00431433" w:rsidRPr="00DB5C63" w:rsidRDefault="00431433" w:rsidP="00A70FEE">
            <w:pPr>
              <w:rPr>
                <w:rFonts w:asciiTheme="minorHAnsi" w:hAnsiTheme="minorHAnsi" w:cs="Arial"/>
                <w:b/>
                <w:sz w:val="22"/>
                <w:szCs w:val="22"/>
              </w:rPr>
            </w:pPr>
          </w:p>
          <w:p w:rsidR="00431433" w:rsidRPr="00DB5C63" w:rsidRDefault="00431433" w:rsidP="00A70FEE">
            <w:pPr>
              <w:rPr>
                <w:rFonts w:asciiTheme="minorHAnsi" w:hAnsiTheme="minorHAnsi" w:cs="Arial"/>
                <w:b/>
                <w:sz w:val="22"/>
                <w:szCs w:val="22"/>
              </w:rPr>
            </w:pPr>
          </w:p>
          <w:p w:rsidR="00431433" w:rsidRPr="00DB5C63" w:rsidRDefault="00431433" w:rsidP="00A70FEE">
            <w:pPr>
              <w:rPr>
                <w:rFonts w:asciiTheme="minorHAnsi" w:hAnsiTheme="minorHAnsi" w:cs="Arial"/>
                <w:b/>
                <w:sz w:val="22"/>
                <w:szCs w:val="22"/>
              </w:rPr>
            </w:pPr>
          </w:p>
          <w:p w:rsidR="00431433" w:rsidRPr="00DB5C63" w:rsidRDefault="00431433" w:rsidP="00A70FEE">
            <w:pPr>
              <w:rPr>
                <w:rFonts w:asciiTheme="minorHAnsi" w:hAnsiTheme="minorHAnsi" w:cs="Arial"/>
                <w:b/>
                <w:sz w:val="22"/>
                <w:szCs w:val="22"/>
              </w:rPr>
            </w:pPr>
            <w:r w:rsidRPr="00DB5C63">
              <w:rPr>
                <w:rFonts w:asciiTheme="minorHAnsi" w:hAnsiTheme="minorHAnsi" w:cs="Arial"/>
                <w:b/>
                <w:sz w:val="22"/>
                <w:szCs w:val="22"/>
              </w:rPr>
              <w:t>50 marks available</w:t>
            </w:r>
            <w:r>
              <w:rPr>
                <w:rFonts w:asciiTheme="minorHAnsi" w:hAnsiTheme="minorHAnsi" w:cs="Arial"/>
                <w:b/>
                <w:sz w:val="22"/>
                <w:szCs w:val="22"/>
              </w:rPr>
              <w:t xml:space="preserve"> </w:t>
            </w:r>
          </w:p>
        </w:tc>
      </w:tr>
      <w:tr w:rsidR="00431433" w:rsidRPr="00033AB2" w:rsidTr="00A70FEE">
        <w:trPr>
          <w:trHeight w:val="2740"/>
        </w:trPr>
        <w:tc>
          <w:tcPr>
            <w:tcW w:w="485" w:type="dxa"/>
          </w:tcPr>
          <w:p w:rsidR="00431433" w:rsidRPr="00103718" w:rsidRDefault="00431433" w:rsidP="00A70FEE">
            <w:pPr>
              <w:rPr>
                <w:rFonts w:cs="Arial"/>
                <w:b/>
              </w:rPr>
            </w:pPr>
          </w:p>
          <w:p w:rsidR="00431433" w:rsidRPr="00103718" w:rsidRDefault="00431433" w:rsidP="00A70FEE">
            <w:pPr>
              <w:rPr>
                <w:rFonts w:cs="Arial"/>
                <w:b/>
              </w:rPr>
            </w:pPr>
            <w:r w:rsidRPr="00103718">
              <w:rPr>
                <w:rFonts w:cs="Arial"/>
                <w:b/>
              </w:rPr>
              <w:t>2</w:t>
            </w:r>
          </w:p>
        </w:tc>
        <w:tc>
          <w:tcPr>
            <w:tcW w:w="8543" w:type="dxa"/>
          </w:tcPr>
          <w:p w:rsidR="00431433" w:rsidRPr="00103718" w:rsidRDefault="00431433" w:rsidP="00A70FEE">
            <w:pPr>
              <w:rPr>
                <w:rFonts w:asciiTheme="minorHAnsi" w:hAnsiTheme="minorHAnsi" w:cs="Arial"/>
                <w:b/>
              </w:rPr>
            </w:pPr>
          </w:p>
          <w:p w:rsidR="00431433" w:rsidRPr="00103718" w:rsidRDefault="00431433" w:rsidP="00A70FEE">
            <w:pPr>
              <w:shd w:val="clear" w:color="auto" w:fill="F2F2F2" w:themeFill="background1" w:themeFillShade="F2"/>
              <w:rPr>
                <w:rFonts w:asciiTheme="minorHAnsi" w:hAnsiTheme="minorHAnsi" w:cs="Arial"/>
                <w:b/>
                <w:sz w:val="22"/>
              </w:rPr>
            </w:pPr>
            <w:r w:rsidRPr="00103718">
              <w:rPr>
                <w:rFonts w:asciiTheme="minorHAnsi" w:hAnsiTheme="minorHAnsi" w:cs="Arial"/>
                <w:b/>
                <w:sz w:val="22"/>
              </w:rPr>
              <w:t xml:space="preserve">Experience </w:t>
            </w:r>
          </w:p>
          <w:p w:rsidR="00431433" w:rsidRPr="00103718" w:rsidRDefault="00431433" w:rsidP="00A70FEE">
            <w:pPr>
              <w:rPr>
                <w:rFonts w:asciiTheme="minorHAnsi" w:hAnsiTheme="minorHAnsi" w:cs="Arial"/>
              </w:rPr>
            </w:pPr>
            <w:r w:rsidRPr="00103718">
              <w:rPr>
                <w:rFonts w:asciiTheme="minorHAnsi" w:hAnsiTheme="minorHAnsi" w:cs="Arial"/>
              </w:rPr>
              <w:t xml:space="preserve"> </w:t>
            </w:r>
          </w:p>
          <w:p w:rsidR="00431433" w:rsidRPr="00103718" w:rsidRDefault="00431433" w:rsidP="00A70FEE">
            <w:pPr>
              <w:rPr>
                <w:rFonts w:asciiTheme="minorHAnsi" w:hAnsiTheme="minorHAnsi" w:cs="Arial"/>
              </w:rPr>
            </w:pPr>
            <w:r w:rsidRPr="00103718">
              <w:rPr>
                <w:rFonts w:asciiTheme="minorHAnsi" w:hAnsiTheme="minorHAnsi" w:cs="Arial"/>
              </w:rPr>
              <w:t>The degree to which the submission has demonstrated:</w:t>
            </w:r>
          </w:p>
          <w:p w:rsidR="00431433" w:rsidRPr="00103718" w:rsidRDefault="00431433" w:rsidP="00A70FEE">
            <w:pPr>
              <w:rPr>
                <w:rFonts w:asciiTheme="minorHAnsi" w:hAnsiTheme="minorHAnsi" w:cs="Arial"/>
              </w:rPr>
            </w:pPr>
          </w:p>
          <w:p w:rsidR="00431433" w:rsidRPr="00103718" w:rsidRDefault="00431433" w:rsidP="00431433">
            <w:pPr>
              <w:numPr>
                <w:ilvl w:val="0"/>
                <w:numId w:val="20"/>
              </w:numPr>
              <w:contextualSpacing/>
              <w:rPr>
                <w:rFonts w:asciiTheme="minorHAnsi" w:hAnsiTheme="minorHAnsi" w:cs="Arial"/>
                <w:i/>
              </w:rPr>
            </w:pPr>
            <w:r w:rsidRPr="00103718">
              <w:rPr>
                <w:rFonts w:asciiTheme="minorHAnsi" w:hAnsiTheme="minorHAnsi" w:cs="Arial"/>
                <w:i/>
              </w:rPr>
              <w:t xml:space="preserve">Experience of working through a non-formal educational approach with this target group </w:t>
            </w:r>
          </w:p>
          <w:p w:rsidR="00431433" w:rsidRPr="00103718" w:rsidRDefault="00431433" w:rsidP="00A70FEE">
            <w:pPr>
              <w:ind w:left="720"/>
              <w:contextualSpacing/>
              <w:rPr>
                <w:rFonts w:asciiTheme="minorHAnsi" w:hAnsiTheme="minorHAnsi" w:cs="Arial"/>
                <w:i/>
              </w:rPr>
            </w:pPr>
          </w:p>
          <w:p w:rsidR="00431433" w:rsidRPr="00103718" w:rsidRDefault="00431433" w:rsidP="00431433">
            <w:pPr>
              <w:numPr>
                <w:ilvl w:val="0"/>
                <w:numId w:val="20"/>
              </w:numPr>
              <w:contextualSpacing/>
              <w:rPr>
                <w:rFonts w:asciiTheme="minorHAnsi" w:hAnsiTheme="minorHAnsi" w:cs="Arial"/>
              </w:rPr>
            </w:pPr>
            <w:r w:rsidRPr="00103718">
              <w:rPr>
                <w:rFonts w:asciiTheme="minorHAnsi" w:hAnsiTheme="minorHAnsi" w:cs="Arial"/>
                <w:i/>
              </w:rPr>
              <w:t xml:space="preserve">Knowledge of the local area or working in similar areas with similar target groups </w:t>
            </w:r>
          </w:p>
          <w:p w:rsidR="00431433" w:rsidRPr="00103718" w:rsidRDefault="00431433" w:rsidP="00A70FEE">
            <w:pPr>
              <w:ind w:left="720"/>
              <w:contextualSpacing/>
              <w:rPr>
                <w:rFonts w:asciiTheme="minorHAnsi" w:hAnsiTheme="minorHAnsi" w:cs="Arial"/>
                <w:i/>
              </w:rPr>
            </w:pPr>
          </w:p>
          <w:p w:rsidR="00431433" w:rsidRPr="00103718" w:rsidRDefault="00431433" w:rsidP="00431433">
            <w:pPr>
              <w:numPr>
                <w:ilvl w:val="0"/>
                <w:numId w:val="20"/>
              </w:numPr>
              <w:contextualSpacing/>
              <w:rPr>
                <w:rFonts w:asciiTheme="minorHAnsi" w:hAnsiTheme="minorHAnsi" w:cs="Arial"/>
                <w:i/>
              </w:rPr>
            </w:pPr>
            <w:r w:rsidRPr="00103718">
              <w:rPr>
                <w:rFonts w:asciiTheme="minorHAnsi" w:hAnsiTheme="minorHAnsi" w:cs="Arial"/>
                <w:i/>
              </w:rPr>
              <w:t>Demonstrable expertise in addressing the needs of the target group and issues faced</w:t>
            </w:r>
          </w:p>
        </w:tc>
        <w:tc>
          <w:tcPr>
            <w:tcW w:w="1037" w:type="dxa"/>
          </w:tcPr>
          <w:p w:rsidR="00431433" w:rsidRPr="00DB5C63" w:rsidRDefault="00431433" w:rsidP="00A70FEE">
            <w:pPr>
              <w:rPr>
                <w:rFonts w:asciiTheme="minorHAnsi" w:hAnsiTheme="minorHAnsi" w:cs="Arial"/>
                <w:b/>
                <w:sz w:val="22"/>
                <w:szCs w:val="22"/>
              </w:rPr>
            </w:pPr>
          </w:p>
          <w:p w:rsidR="00431433" w:rsidRPr="00DB5C63" w:rsidRDefault="00431433" w:rsidP="00A70FEE">
            <w:pPr>
              <w:rPr>
                <w:rFonts w:asciiTheme="minorHAnsi" w:hAnsiTheme="minorHAnsi" w:cs="Arial"/>
                <w:b/>
                <w:sz w:val="22"/>
                <w:szCs w:val="22"/>
              </w:rPr>
            </w:pPr>
          </w:p>
          <w:p w:rsidR="00431433" w:rsidRPr="00DB5C63" w:rsidRDefault="00431433" w:rsidP="00A70FEE">
            <w:pPr>
              <w:rPr>
                <w:rFonts w:asciiTheme="minorHAnsi" w:hAnsiTheme="minorHAnsi" w:cs="Arial"/>
                <w:b/>
                <w:sz w:val="22"/>
                <w:szCs w:val="22"/>
              </w:rPr>
            </w:pPr>
          </w:p>
          <w:p w:rsidR="00431433" w:rsidRPr="00DB5C63" w:rsidRDefault="00431433" w:rsidP="00A70FEE">
            <w:pPr>
              <w:rPr>
                <w:rFonts w:asciiTheme="minorHAnsi" w:hAnsiTheme="minorHAnsi" w:cs="Arial"/>
                <w:b/>
                <w:sz w:val="22"/>
                <w:szCs w:val="22"/>
              </w:rPr>
            </w:pPr>
          </w:p>
          <w:p w:rsidR="00431433" w:rsidRPr="00DB5C63" w:rsidRDefault="00431433" w:rsidP="00A70FEE">
            <w:pPr>
              <w:rPr>
                <w:rFonts w:asciiTheme="minorHAnsi" w:hAnsiTheme="minorHAnsi" w:cs="Arial"/>
                <w:b/>
                <w:sz w:val="22"/>
                <w:szCs w:val="22"/>
              </w:rPr>
            </w:pPr>
            <w:r w:rsidRPr="00DB5C63">
              <w:rPr>
                <w:rFonts w:asciiTheme="minorHAnsi" w:hAnsiTheme="minorHAnsi" w:cs="Arial"/>
                <w:b/>
                <w:sz w:val="22"/>
                <w:szCs w:val="22"/>
              </w:rPr>
              <w:t xml:space="preserve">30 marks available </w:t>
            </w:r>
          </w:p>
        </w:tc>
      </w:tr>
      <w:tr w:rsidR="00431433" w:rsidRPr="00033AB2" w:rsidTr="00A70FEE">
        <w:trPr>
          <w:trHeight w:val="317"/>
        </w:trPr>
        <w:tc>
          <w:tcPr>
            <w:tcW w:w="485" w:type="dxa"/>
          </w:tcPr>
          <w:p w:rsidR="00431433" w:rsidRPr="00103718" w:rsidRDefault="00431433" w:rsidP="00A70FEE">
            <w:pPr>
              <w:rPr>
                <w:rFonts w:cs="Arial"/>
                <w:b/>
              </w:rPr>
            </w:pPr>
          </w:p>
          <w:p w:rsidR="00431433" w:rsidRPr="00103718" w:rsidRDefault="00431433" w:rsidP="00A70FEE">
            <w:pPr>
              <w:rPr>
                <w:rFonts w:cs="Arial"/>
                <w:b/>
              </w:rPr>
            </w:pPr>
            <w:r w:rsidRPr="00103718">
              <w:rPr>
                <w:rFonts w:cs="Arial"/>
                <w:b/>
              </w:rPr>
              <w:t>3</w:t>
            </w:r>
          </w:p>
        </w:tc>
        <w:tc>
          <w:tcPr>
            <w:tcW w:w="8543" w:type="dxa"/>
          </w:tcPr>
          <w:p w:rsidR="00431433" w:rsidRPr="00103718" w:rsidRDefault="00431433" w:rsidP="00A70FEE">
            <w:pPr>
              <w:rPr>
                <w:rFonts w:asciiTheme="minorHAnsi" w:hAnsiTheme="minorHAnsi" w:cs="Arial"/>
                <w:b/>
              </w:rPr>
            </w:pPr>
          </w:p>
          <w:p w:rsidR="00431433" w:rsidRPr="00103718" w:rsidRDefault="00431433" w:rsidP="00A70FEE">
            <w:pPr>
              <w:shd w:val="clear" w:color="auto" w:fill="F2F2F2" w:themeFill="background1" w:themeFillShade="F2"/>
              <w:rPr>
                <w:rFonts w:asciiTheme="minorHAnsi" w:hAnsiTheme="minorHAnsi" w:cs="Arial"/>
                <w:b/>
                <w:sz w:val="22"/>
              </w:rPr>
            </w:pPr>
            <w:r w:rsidRPr="00103718">
              <w:rPr>
                <w:rFonts w:asciiTheme="minorHAnsi" w:hAnsiTheme="minorHAnsi" w:cs="Arial"/>
                <w:b/>
                <w:sz w:val="22"/>
              </w:rPr>
              <w:t>Capacity of organisation to engage in this process</w:t>
            </w:r>
          </w:p>
          <w:p w:rsidR="00431433" w:rsidRPr="00103718" w:rsidRDefault="00431433" w:rsidP="00A70FEE">
            <w:pPr>
              <w:spacing w:line="240" w:lineRule="atLeast"/>
              <w:contextualSpacing/>
              <w:rPr>
                <w:rFonts w:asciiTheme="minorHAnsi" w:eastAsia="Arial" w:hAnsiTheme="minorHAnsi" w:cs="Arial"/>
              </w:rPr>
            </w:pPr>
          </w:p>
          <w:p w:rsidR="00431433" w:rsidRPr="00103718" w:rsidRDefault="00431433" w:rsidP="00A70FEE">
            <w:pPr>
              <w:spacing w:line="240" w:lineRule="atLeast"/>
              <w:contextualSpacing/>
              <w:rPr>
                <w:rFonts w:asciiTheme="minorHAnsi" w:eastAsia="Arial" w:hAnsiTheme="minorHAnsi" w:cs="Arial"/>
              </w:rPr>
            </w:pPr>
            <w:r w:rsidRPr="00103718">
              <w:rPr>
                <w:rFonts w:asciiTheme="minorHAnsi" w:eastAsia="Arial" w:hAnsiTheme="minorHAnsi" w:cs="Arial"/>
              </w:rPr>
              <w:t>The degree to which the submission has demonstrated a commitment and ability to deliver the proposed project, and a willingness to engage in the VFMPR sample process through -</w:t>
            </w:r>
          </w:p>
          <w:p w:rsidR="00431433" w:rsidRPr="00103718" w:rsidRDefault="00431433" w:rsidP="00A70FEE">
            <w:pPr>
              <w:spacing w:line="240" w:lineRule="atLeast"/>
              <w:contextualSpacing/>
              <w:rPr>
                <w:rFonts w:asciiTheme="minorHAnsi" w:eastAsia="Arial" w:hAnsiTheme="minorHAnsi" w:cs="Arial"/>
                <w:color w:val="00B050"/>
              </w:rPr>
            </w:pPr>
          </w:p>
          <w:p w:rsidR="00431433" w:rsidRPr="00103718" w:rsidRDefault="00431433" w:rsidP="00431433">
            <w:pPr>
              <w:numPr>
                <w:ilvl w:val="1"/>
                <w:numId w:val="21"/>
              </w:numPr>
              <w:ind w:left="685"/>
              <w:contextualSpacing/>
              <w:rPr>
                <w:rFonts w:asciiTheme="minorHAnsi" w:hAnsiTheme="minorHAnsi" w:cs="Arial"/>
                <w:b/>
                <w:i/>
              </w:rPr>
            </w:pPr>
            <w:r w:rsidRPr="00103718">
              <w:rPr>
                <w:rFonts w:asciiTheme="minorHAnsi" w:hAnsiTheme="minorHAnsi" w:cs="Arial"/>
                <w:i/>
              </w:rPr>
              <w:t xml:space="preserve">Commitment to working with the </w:t>
            </w:r>
            <w:r w:rsidR="00702B8E">
              <w:rPr>
                <w:rFonts w:asciiTheme="minorHAnsi" w:hAnsiTheme="minorHAnsi" w:cs="Arial"/>
                <w:i/>
              </w:rPr>
              <w:t>LC</w:t>
            </w:r>
            <w:r w:rsidRPr="00103718">
              <w:rPr>
                <w:rFonts w:asciiTheme="minorHAnsi" w:hAnsiTheme="minorHAnsi" w:cs="Arial"/>
                <w:i/>
              </w:rPr>
              <w:t>ETB, DCYA and others to advise and learn from the process</w:t>
            </w:r>
          </w:p>
          <w:p w:rsidR="00431433" w:rsidRPr="00103718" w:rsidRDefault="00431433" w:rsidP="00A70FEE">
            <w:pPr>
              <w:ind w:left="685"/>
              <w:contextualSpacing/>
              <w:rPr>
                <w:rFonts w:asciiTheme="minorHAnsi" w:hAnsiTheme="minorHAnsi" w:cs="Arial"/>
                <w:b/>
                <w:i/>
              </w:rPr>
            </w:pPr>
          </w:p>
          <w:p w:rsidR="00431433" w:rsidRPr="00103718" w:rsidRDefault="00431433" w:rsidP="00431433">
            <w:pPr>
              <w:numPr>
                <w:ilvl w:val="1"/>
                <w:numId w:val="21"/>
              </w:numPr>
              <w:ind w:left="685"/>
              <w:contextualSpacing/>
              <w:rPr>
                <w:rFonts w:asciiTheme="minorHAnsi" w:hAnsiTheme="minorHAnsi" w:cs="Arial"/>
                <w:i/>
              </w:rPr>
            </w:pPr>
            <w:r w:rsidRPr="00103718">
              <w:rPr>
                <w:rFonts w:asciiTheme="minorHAnsi" w:hAnsiTheme="minorHAnsi" w:cs="Arial"/>
                <w:i/>
              </w:rPr>
              <w:t>Evidence of ability and experience of adhering to national legislation and guidelines including, but not limited to, financial reporting, governance code, companies act, employment legislation, Children Fir</w:t>
            </w:r>
            <w:r>
              <w:rPr>
                <w:rFonts w:asciiTheme="minorHAnsi" w:hAnsiTheme="minorHAnsi" w:cs="Arial"/>
                <w:i/>
              </w:rPr>
              <w:t>st</w:t>
            </w:r>
          </w:p>
          <w:p w:rsidR="00431433" w:rsidRPr="00103718" w:rsidRDefault="00431433" w:rsidP="00A70FEE">
            <w:pPr>
              <w:ind w:left="685"/>
              <w:rPr>
                <w:rFonts w:asciiTheme="minorHAnsi" w:hAnsiTheme="minorHAnsi" w:cs="Arial"/>
                <w:i/>
              </w:rPr>
            </w:pPr>
          </w:p>
          <w:p w:rsidR="00431433" w:rsidRPr="00103718" w:rsidRDefault="00431433" w:rsidP="00431433">
            <w:pPr>
              <w:numPr>
                <w:ilvl w:val="1"/>
                <w:numId w:val="21"/>
              </w:numPr>
              <w:ind w:left="685"/>
              <w:contextualSpacing/>
              <w:rPr>
                <w:rFonts w:asciiTheme="minorHAnsi" w:hAnsiTheme="minorHAnsi" w:cs="Arial"/>
                <w:i/>
              </w:rPr>
            </w:pPr>
            <w:r w:rsidRPr="00103718">
              <w:rPr>
                <w:rFonts w:asciiTheme="minorHAnsi" w:hAnsiTheme="minorHAnsi" w:cs="Arial"/>
                <w:i/>
              </w:rPr>
              <w:t xml:space="preserve">Quality of the risk assessment and appropriateness of the actions to address the risks identified </w:t>
            </w:r>
          </w:p>
          <w:p w:rsidR="00431433" w:rsidRPr="00103718" w:rsidRDefault="00431433" w:rsidP="00A70FEE">
            <w:pPr>
              <w:ind w:left="685"/>
              <w:contextualSpacing/>
              <w:rPr>
                <w:rFonts w:asciiTheme="minorHAnsi" w:hAnsiTheme="minorHAnsi" w:cs="Arial"/>
                <w:i/>
              </w:rPr>
            </w:pPr>
          </w:p>
          <w:p w:rsidR="00431433" w:rsidRPr="00103718" w:rsidRDefault="00431433" w:rsidP="00431433">
            <w:pPr>
              <w:numPr>
                <w:ilvl w:val="1"/>
                <w:numId w:val="21"/>
              </w:numPr>
              <w:ind w:left="685"/>
              <w:contextualSpacing/>
              <w:rPr>
                <w:rFonts w:asciiTheme="minorHAnsi" w:hAnsiTheme="minorHAnsi" w:cs="Arial"/>
                <w:i/>
              </w:rPr>
            </w:pPr>
            <w:r w:rsidRPr="00103718">
              <w:rPr>
                <w:rFonts w:asciiTheme="minorHAnsi" w:hAnsiTheme="minorHAnsi" w:cs="Arial"/>
                <w:i/>
              </w:rPr>
              <w:t xml:space="preserve">Experience of monitoring and evaluation systems in human services </w:t>
            </w:r>
          </w:p>
          <w:p w:rsidR="00431433" w:rsidRPr="00103718" w:rsidRDefault="00431433" w:rsidP="00A70FEE">
            <w:pPr>
              <w:ind w:left="1440"/>
              <w:contextualSpacing/>
              <w:rPr>
                <w:rFonts w:asciiTheme="minorHAnsi" w:hAnsiTheme="minorHAnsi" w:cs="Arial"/>
                <w:b/>
              </w:rPr>
            </w:pPr>
          </w:p>
        </w:tc>
        <w:tc>
          <w:tcPr>
            <w:tcW w:w="1037" w:type="dxa"/>
          </w:tcPr>
          <w:p w:rsidR="00431433" w:rsidRPr="00DB5C63" w:rsidRDefault="00431433" w:rsidP="00A70FEE">
            <w:pPr>
              <w:rPr>
                <w:rFonts w:asciiTheme="minorHAnsi" w:hAnsiTheme="minorHAnsi" w:cs="Arial"/>
                <w:b/>
                <w:sz w:val="22"/>
                <w:szCs w:val="22"/>
              </w:rPr>
            </w:pPr>
          </w:p>
          <w:p w:rsidR="00431433" w:rsidRPr="00DB5C63" w:rsidRDefault="00431433" w:rsidP="00A70FEE">
            <w:pPr>
              <w:rPr>
                <w:rFonts w:asciiTheme="minorHAnsi" w:hAnsiTheme="minorHAnsi" w:cs="Arial"/>
                <w:b/>
                <w:sz w:val="22"/>
                <w:szCs w:val="22"/>
              </w:rPr>
            </w:pPr>
          </w:p>
          <w:p w:rsidR="00431433" w:rsidRPr="00DB5C63" w:rsidRDefault="00431433" w:rsidP="00A70FEE">
            <w:pPr>
              <w:rPr>
                <w:rFonts w:asciiTheme="minorHAnsi" w:hAnsiTheme="minorHAnsi" w:cs="Arial"/>
                <w:b/>
                <w:sz w:val="22"/>
                <w:szCs w:val="22"/>
              </w:rPr>
            </w:pPr>
          </w:p>
          <w:p w:rsidR="00431433" w:rsidRPr="00DB5C63" w:rsidRDefault="00431433" w:rsidP="00A70FEE">
            <w:pPr>
              <w:rPr>
                <w:rFonts w:asciiTheme="minorHAnsi" w:hAnsiTheme="minorHAnsi" w:cs="Arial"/>
                <w:b/>
                <w:sz w:val="22"/>
                <w:szCs w:val="22"/>
              </w:rPr>
            </w:pPr>
            <w:r w:rsidRPr="00DB5C63">
              <w:rPr>
                <w:rFonts w:asciiTheme="minorHAnsi" w:hAnsiTheme="minorHAnsi" w:cs="Arial"/>
                <w:b/>
                <w:sz w:val="22"/>
                <w:szCs w:val="22"/>
              </w:rPr>
              <w:t xml:space="preserve">20 marks available </w:t>
            </w:r>
          </w:p>
        </w:tc>
      </w:tr>
      <w:tr w:rsidR="00431433" w:rsidRPr="00033AB2" w:rsidTr="00A70FEE">
        <w:trPr>
          <w:trHeight w:val="601"/>
        </w:trPr>
        <w:tc>
          <w:tcPr>
            <w:tcW w:w="485" w:type="dxa"/>
          </w:tcPr>
          <w:p w:rsidR="00431433" w:rsidRPr="00103718" w:rsidRDefault="00431433" w:rsidP="00A70FEE">
            <w:pPr>
              <w:spacing w:line="240" w:lineRule="atLeast"/>
              <w:contextualSpacing/>
              <w:rPr>
                <w:rFonts w:cs="Arial"/>
                <w:b/>
                <w:color w:val="0D0D0D"/>
                <w:lang w:val="en-US"/>
              </w:rPr>
            </w:pPr>
          </w:p>
          <w:p w:rsidR="00431433" w:rsidRPr="00103718" w:rsidRDefault="00431433" w:rsidP="00A70FEE">
            <w:pPr>
              <w:spacing w:line="240" w:lineRule="atLeast"/>
              <w:contextualSpacing/>
              <w:rPr>
                <w:rFonts w:cs="Arial"/>
                <w:b/>
                <w:color w:val="0D0D0D"/>
                <w:lang w:val="en-US"/>
              </w:rPr>
            </w:pPr>
            <w:r w:rsidRPr="00103718">
              <w:rPr>
                <w:rFonts w:cs="Arial"/>
                <w:b/>
                <w:color w:val="0D0D0D"/>
                <w:lang w:val="en-US"/>
              </w:rPr>
              <w:t>4</w:t>
            </w:r>
          </w:p>
        </w:tc>
        <w:tc>
          <w:tcPr>
            <w:tcW w:w="8543" w:type="dxa"/>
          </w:tcPr>
          <w:p w:rsidR="00431433" w:rsidRPr="00103718" w:rsidRDefault="00431433" w:rsidP="00A70FEE">
            <w:pPr>
              <w:spacing w:line="240" w:lineRule="atLeast"/>
              <w:contextualSpacing/>
              <w:rPr>
                <w:rFonts w:asciiTheme="minorHAnsi" w:hAnsiTheme="minorHAnsi" w:cs="Arial"/>
                <w:b/>
                <w:color w:val="0D0D0D"/>
                <w:lang w:val="en-US"/>
              </w:rPr>
            </w:pPr>
          </w:p>
          <w:p w:rsidR="00431433" w:rsidRPr="00103718" w:rsidRDefault="00431433" w:rsidP="00A70FEE">
            <w:pPr>
              <w:shd w:val="clear" w:color="auto" w:fill="F2F2F2" w:themeFill="background1" w:themeFillShade="F2"/>
              <w:spacing w:line="240" w:lineRule="atLeast"/>
              <w:contextualSpacing/>
              <w:rPr>
                <w:rFonts w:asciiTheme="minorHAnsi" w:hAnsiTheme="minorHAnsi" w:cs="Arial"/>
                <w:b/>
                <w:color w:val="0D0D0D"/>
                <w:sz w:val="22"/>
                <w:lang w:val="en-US"/>
              </w:rPr>
            </w:pPr>
            <w:r w:rsidRPr="00103718">
              <w:rPr>
                <w:rFonts w:asciiTheme="minorHAnsi" w:hAnsiTheme="minorHAnsi" w:cs="Arial"/>
                <w:b/>
                <w:color w:val="0D0D0D"/>
                <w:sz w:val="22"/>
                <w:lang w:val="en-US"/>
              </w:rPr>
              <w:t xml:space="preserve">Value for money / Additionality </w:t>
            </w:r>
          </w:p>
          <w:p w:rsidR="00431433" w:rsidRPr="00103718" w:rsidRDefault="00431433" w:rsidP="00A70FEE">
            <w:pPr>
              <w:spacing w:line="240" w:lineRule="atLeast"/>
              <w:contextualSpacing/>
              <w:rPr>
                <w:rFonts w:asciiTheme="minorHAnsi" w:hAnsiTheme="minorHAnsi" w:cs="Arial"/>
                <w:color w:val="0D0D0D"/>
                <w:lang w:val="en-US"/>
              </w:rPr>
            </w:pPr>
          </w:p>
          <w:p w:rsidR="00431433" w:rsidRPr="00103718" w:rsidRDefault="00431433" w:rsidP="00431433">
            <w:pPr>
              <w:numPr>
                <w:ilvl w:val="0"/>
                <w:numId w:val="22"/>
              </w:numPr>
              <w:spacing w:after="200" w:line="240" w:lineRule="atLeast"/>
              <w:contextualSpacing/>
              <w:rPr>
                <w:rFonts w:asciiTheme="minorHAnsi" w:hAnsiTheme="minorHAnsi" w:cs="Arial"/>
                <w:i/>
                <w:color w:val="0D0D0D"/>
                <w:lang w:val="en-US"/>
              </w:rPr>
            </w:pPr>
            <w:r w:rsidRPr="00103718">
              <w:rPr>
                <w:rFonts w:asciiTheme="minorHAnsi" w:hAnsiTheme="minorHAnsi" w:cs="Arial"/>
                <w:i/>
                <w:color w:val="0D0D0D"/>
                <w:lang w:val="en-US"/>
              </w:rPr>
              <w:t>Clear, realistic budget with supporting rationale</w:t>
            </w:r>
          </w:p>
          <w:p w:rsidR="00431433" w:rsidRPr="00103718" w:rsidRDefault="00431433" w:rsidP="00A70FEE">
            <w:pPr>
              <w:spacing w:after="200" w:line="240" w:lineRule="atLeast"/>
              <w:ind w:left="720"/>
              <w:contextualSpacing/>
              <w:rPr>
                <w:rFonts w:asciiTheme="minorHAnsi" w:hAnsiTheme="minorHAnsi" w:cs="Arial"/>
                <w:i/>
                <w:color w:val="0D0D0D"/>
                <w:lang w:val="en-US"/>
              </w:rPr>
            </w:pPr>
          </w:p>
          <w:p w:rsidR="00431433" w:rsidRPr="00103718" w:rsidRDefault="00431433" w:rsidP="00431433">
            <w:pPr>
              <w:numPr>
                <w:ilvl w:val="0"/>
                <w:numId w:val="22"/>
              </w:numPr>
              <w:spacing w:after="200" w:line="240" w:lineRule="atLeast"/>
              <w:contextualSpacing/>
              <w:rPr>
                <w:rFonts w:asciiTheme="minorHAnsi" w:hAnsiTheme="minorHAnsi" w:cs="Arial"/>
                <w:i/>
                <w:color w:val="0D0D0D"/>
                <w:lang w:val="en-US"/>
              </w:rPr>
            </w:pPr>
            <w:r w:rsidRPr="00103718">
              <w:rPr>
                <w:rFonts w:asciiTheme="minorHAnsi" w:hAnsiTheme="minorHAnsi" w:cs="Arial"/>
                <w:i/>
                <w:color w:val="0D0D0D"/>
                <w:lang w:val="en-US"/>
              </w:rPr>
              <w:t xml:space="preserve">The degree to which the applicant can demonstrate that they can bring additional resources to this application (including, but not limited to):  </w:t>
            </w:r>
          </w:p>
          <w:p w:rsidR="00431433" w:rsidRPr="00103718" w:rsidRDefault="00431433" w:rsidP="00A70FEE">
            <w:pPr>
              <w:spacing w:after="200" w:line="240" w:lineRule="atLeast"/>
              <w:contextualSpacing/>
              <w:rPr>
                <w:rFonts w:asciiTheme="minorHAnsi" w:hAnsiTheme="minorHAnsi" w:cs="Arial"/>
                <w:i/>
                <w:color w:val="0D0D0D"/>
                <w:lang w:val="en-US"/>
              </w:rPr>
            </w:pPr>
          </w:p>
          <w:p w:rsidR="00431433" w:rsidRPr="00103718" w:rsidRDefault="00431433" w:rsidP="00431433">
            <w:pPr>
              <w:numPr>
                <w:ilvl w:val="0"/>
                <w:numId w:val="23"/>
              </w:numPr>
              <w:spacing w:after="200" w:line="240" w:lineRule="atLeast"/>
              <w:ind w:left="1252"/>
              <w:contextualSpacing/>
              <w:rPr>
                <w:rFonts w:asciiTheme="minorHAnsi" w:hAnsiTheme="minorHAnsi" w:cs="Arial"/>
                <w:color w:val="0D0D0D"/>
              </w:rPr>
            </w:pPr>
            <w:r w:rsidRPr="00103718">
              <w:rPr>
                <w:rFonts w:asciiTheme="minorHAnsi" w:hAnsiTheme="minorHAnsi" w:cs="Arial"/>
                <w:color w:val="0D0D0D"/>
              </w:rPr>
              <w:t>Relationships with key agencies operating in the geographic / issue area</w:t>
            </w:r>
          </w:p>
          <w:p w:rsidR="00431433" w:rsidRPr="00103718" w:rsidRDefault="00431433" w:rsidP="00A70FEE">
            <w:pPr>
              <w:spacing w:after="200" w:line="240" w:lineRule="atLeast"/>
              <w:ind w:left="1252"/>
              <w:contextualSpacing/>
              <w:rPr>
                <w:rFonts w:asciiTheme="minorHAnsi" w:hAnsiTheme="minorHAnsi" w:cs="Arial"/>
                <w:color w:val="0D0D0D"/>
              </w:rPr>
            </w:pPr>
          </w:p>
          <w:p w:rsidR="00431433" w:rsidRPr="00103718" w:rsidRDefault="00431433" w:rsidP="00431433">
            <w:pPr>
              <w:numPr>
                <w:ilvl w:val="0"/>
                <w:numId w:val="23"/>
              </w:numPr>
              <w:spacing w:after="200" w:line="240" w:lineRule="atLeast"/>
              <w:ind w:left="1252"/>
              <w:contextualSpacing/>
              <w:rPr>
                <w:rFonts w:asciiTheme="minorHAnsi" w:hAnsiTheme="minorHAnsi" w:cs="Arial"/>
                <w:color w:val="0D0D0D"/>
              </w:rPr>
            </w:pPr>
            <w:r w:rsidRPr="00103718">
              <w:rPr>
                <w:rFonts w:asciiTheme="minorHAnsi" w:hAnsiTheme="minorHAnsi" w:cs="Arial"/>
                <w:color w:val="0D0D0D"/>
              </w:rPr>
              <w:t>Additionality offered from existing services offered by the applicant organisation</w:t>
            </w:r>
          </w:p>
          <w:p w:rsidR="00431433" w:rsidRPr="00103718" w:rsidRDefault="00431433" w:rsidP="00A70FEE">
            <w:pPr>
              <w:spacing w:after="200" w:line="240" w:lineRule="atLeast"/>
              <w:ind w:left="1252"/>
              <w:contextualSpacing/>
              <w:rPr>
                <w:rFonts w:asciiTheme="minorHAnsi" w:hAnsiTheme="minorHAnsi" w:cs="Arial"/>
                <w:color w:val="0D0D0D"/>
              </w:rPr>
            </w:pPr>
          </w:p>
          <w:p w:rsidR="00431433" w:rsidRPr="00103718" w:rsidRDefault="00431433" w:rsidP="00431433">
            <w:pPr>
              <w:numPr>
                <w:ilvl w:val="0"/>
                <w:numId w:val="23"/>
              </w:numPr>
              <w:spacing w:after="200" w:line="240" w:lineRule="atLeast"/>
              <w:ind w:left="1252"/>
              <w:contextualSpacing/>
              <w:rPr>
                <w:rFonts w:asciiTheme="minorHAnsi" w:hAnsiTheme="minorHAnsi" w:cs="Arial"/>
                <w:color w:val="0D0D0D"/>
              </w:rPr>
            </w:pPr>
            <w:r w:rsidRPr="00103718">
              <w:rPr>
                <w:rFonts w:asciiTheme="minorHAnsi" w:hAnsiTheme="minorHAnsi" w:cs="Arial"/>
                <w:color w:val="0D0D0D"/>
              </w:rPr>
              <w:t xml:space="preserve">Access to premises, equipment, volunteers and other resources </w:t>
            </w:r>
          </w:p>
          <w:p w:rsidR="00431433" w:rsidRPr="00103718" w:rsidRDefault="00431433" w:rsidP="00A70FEE">
            <w:pPr>
              <w:spacing w:after="200" w:line="240" w:lineRule="atLeast"/>
              <w:ind w:left="1252"/>
              <w:contextualSpacing/>
              <w:rPr>
                <w:rFonts w:asciiTheme="minorHAnsi" w:hAnsiTheme="minorHAnsi" w:cs="Arial"/>
                <w:b/>
              </w:rPr>
            </w:pPr>
          </w:p>
          <w:p w:rsidR="00431433" w:rsidRPr="00103718" w:rsidRDefault="00431433" w:rsidP="00431433">
            <w:pPr>
              <w:numPr>
                <w:ilvl w:val="0"/>
                <w:numId w:val="23"/>
              </w:numPr>
              <w:spacing w:after="200" w:line="240" w:lineRule="atLeast"/>
              <w:ind w:left="1252"/>
              <w:contextualSpacing/>
              <w:rPr>
                <w:rFonts w:asciiTheme="minorHAnsi" w:hAnsiTheme="minorHAnsi" w:cs="Arial"/>
                <w:b/>
              </w:rPr>
            </w:pPr>
            <w:r w:rsidRPr="00103718">
              <w:rPr>
                <w:rFonts w:asciiTheme="minorHAnsi" w:hAnsiTheme="minorHAnsi" w:cs="Arial"/>
                <w:color w:val="0D0D0D"/>
              </w:rPr>
              <w:t xml:space="preserve">Access to administration and management support  </w:t>
            </w:r>
          </w:p>
          <w:p w:rsidR="00431433" w:rsidRPr="00103718" w:rsidRDefault="00431433" w:rsidP="00A70FEE">
            <w:pPr>
              <w:spacing w:after="200" w:line="240" w:lineRule="atLeast"/>
              <w:ind w:left="720"/>
              <w:contextualSpacing/>
              <w:rPr>
                <w:rFonts w:asciiTheme="minorHAnsi" w:hAnsiTheme="minorHAnsi" w:cs="Arial"/>
                <w:b/>
              </w:rPr>
            </w:pPr>
          </w:p>
        </w:tc>
        <w:tc>
          <w:tcPr>
            <w:tcW w:w="1037" w:type="dxa"/>
          </w:tcPr>
          <w:p w:rsidR="00431433" w:rsidRPr="00DB5C63" w:rsidRDefault="00431433" w:rsidP="00A70FEE">
            <w:pPr>
              <w:rPr>
                <w:rFonts w:asciiTheme="minorHAnsi" w:hAnsiTheme="minorHAnsi" w:cs="Arial"/>
                <w:b/>
                <w:sz w:val="22"/>
                <w:szCs w:val="22"/>
              </w:rPr>
            </w:pPr>
          </w:p>
          <w:p w:rsidR="00431433" w:rsidRPr="00DB5C63" w:rsidRDefault="00431433" w:rsidP="00A70FEE">
            <w:pPr>
              <w:rPr>
                <w:rFonts w:asciiTheme="minorHAnsi" w:hAnsiTheme="minorHAnsi" w:cs="Arial"/>
                <w:b/>
                <w:sz w:val="22"/>
                <w:szCs w:val="22"/>
              </w:rPr>
            </w:pPr>
          </w:p>
          <w:p w:rsidR="00431433" w:rsidRPr="00DB5C63" w:rsidRDefault="00431433" w:rsidP="00A70FEE">
            <w:pPr>
              <w:rPr>
                <w:rFonts w:asciiTheme="minorHAnsi" w:hAnsiTheme="minorHAnsi" w:cs="Arial"/>
                <w:b/>
                <w:sz w:val="22"/>
                <w:szCs w:val="22"/>
              </w:rPr>
            </w:pPr>
          </w:p>
          <w:p w:rsidR="00431433" w:rsidRPr="00DB5C63" w:rsidRDefault="00431433" w:rsidP="00A70FEE">
            <w:pPr>
              <w:rPr>
                <w:rFonts w:asciiTheme="minorHAnsi" w:hAnsiTheme="minorHAnsi" w:cs="Arial"/>
                <w:b/>
                <w:sz w:val="22"/>
                <w:szCs w:val="22"/>
              </w:rPr>
            </w:pPr>
            <w:r w:rsidRPr="00DB5C63">
              <w:rPr>
                <w:rFonts w:asciiTheme="minorHAnsi" w:hAnsiTheme="minorHAnsi" w:cs="Arial"/>
                <w:b/>
                <w:sz w:val="22"/>
                <w:szCs w:val="22"/>
              </w:rPr>
              <w:t xml:space="preserve">30 marks available </w:t>
            </w:r>
          </w:p>
        </w:tc>
      </w:tr>
      <w:tr w:rsidR="00431433" w:rsidRPr="00033AB2" w:rsidTr="00A70FEE">
        <w:trPr>
          <w:trHeight w:val="774"/>
        </w:trPr>
        <w:tc>
          <w:tcPr>
            <w:tcW w:w="485" w:type="dxa"/>
            <w:shd w:val="clear" w:color="auto" w:fill="F2F2F2" w:themeFill="background1" w:themeFillShade="F2"/>
          </w:tcPr>
          <w:p w:rsidR="00431433" w:rsidRPr="00103718" w:rsidRDefault="00431433" w:rsidP="00A70FEE">
            <w:pPr>
              <w:spacing w:line="240" w:lineRule="atLeast"/>
              <w:contextualSpacing/>
              <w:rPr>
                <w:rFonts w:cs="Arial"/>
                <w:b/>
                <w:color w:val="0D0D0D"/>
                <w:lang w:val="en-US"/>
              </w:rPr>
            </w:pPr>
          </w:p>
        </w:tc>
        <w:tc>
          <w:tcPr>
            <w:tcW w:w="8543" w:type="dxa"/>
            <w:shd w:val="clear" w:color="auto" w:fill="F2F2F2" w:themeFill="background1" w:themeFillShade="F2"/>
          </w:tcPr>
          <w:p w:rsidR="00431433" w:rsidRPr="00103718" w:rsidRDefault="00431433" w:rsidP="00A70FEE">
            <w:pPr>
              <w:spacing w:line="240" w:lineRule="atLeast"/>
              <w:contextualSpacing/>
              <w:rPr>
                <w:rFonts w:asciiTheme="minorHAnsi" w:hAnsiTheme="minorHAnsi" w:cs="Arial"/>
                <w:b/>
                <w:color w:val="0D0D0D"/>
                <w:lang w:val="en-US"/>
              </w:rPr>
            </w:pPr>
          </w:p>
          <w:p w:rsidR="00431433" w:rsidRPr="00103718" w:rsidRDefault="00431433" w:rsidP="00A70FEE">
            <w:pPr>
              <w:spacing w:line="240" w:lineRule="atLeast"/>
              <w:contextualSpacing/>
              <w:rPr>
                <w:rFonts w:asciiTheme="minorHAnsi" w:hAnsiTheme="minorHAnsi" w:cs="Arial"/>
                <w:b/>
                <w:color w:val="0D0D0D"/>
                <w:lang w:val="en-US"/>
              </w:rPr>
            </w:pPr>
            <w:r w:rsidRPr="00103718">
              <w:rPr>
                <w:rFonts w:asciiTheme="minorHAnsi" w:hAnsiTheme="minorHAnsi" w:cs="Arial"/>
                <w:b/>
                <w:color w:val="0D0D0D"/>
                <w:lang w:val="en-US"/>
              </w:rPr>
              <w:t xml:space="preserve">Total score </w:t>
            </w:r>
            <w:r w:rsidRPr="00103718">
              <w:rPr>
                <w:rFonts w:asciiTheme="minorHAnsi" w:hAnsiTheme="minorHAnsi" w:cs="Arial"/>
                <w:color w:val="0D0D0D"/>
                <w:lang w:val="en-US"/>
              </w:rPr>
              <w:t>(out of a possible 130):</w:t>
            </w:r>
          </w:p>
          <w:p w:rsidR="00431433" w:rsidRPr="00103718" w:rsidRDefault="00431433" w:rsidP="00A70FEE">
            <w:pPr>
              <w:spacing w:line="240" w:lineRule="atLeast"/>
              <w:contextualSpacing/>
              <w:rPr>
                <w:rFonts w:asciiTheme="minorHAnsi" w:hAnsiTheme="minorHAnsi" w:cs="Arial"/>
                <w:b/>
                <w:color w:val="0D0D0D"/>
                <w:lang w:val="en-US"/>
              </w:rPr>
            </w:pPr>
          </w:p>
        </w:tc>
        <w:tc>
          <w:tcPr>
            <w:tcW w:w="1037" w:type="dxa"/>
            <w:shd w:val="clear" w:color="auto" w:fill="D9D9D9" w:themeFill="background1" w:themeFillShade="D9"/>
          </w:tcPr>
          <w:p w:rsidR="00431433" w:rsidRPr="00DB5C63" w:rsidRDefault="00431433" w:rsidP="00A70FEE">
            <w:pPr>
              <w:rPr>
                <w:rFonts w:asciiTheme="minorHAnsi" w:hAnsiTheme="minorHAnsi" w:cs="Arial"/>
                <w:b/>
                <w:sz w:val="22"/>
                <w:szCs w:val="22"/>
              </w:rPr>
            </w:pPr>
          </w:p>
        </w:tc>
      </w:tr>
    </w:tbl>
    <w:p w:rsidR="00431433" w:rsidRDefault="00431433" w:rsidP="00431433">
      <w:pPr>
        <w:pStyle w:val="NoSpacing"/>
      </w:pPr>
    </w:p>
    <w:p w:rsidR="00566601" w:rsidRDefault="00566601" w:rsidP="00431433">
      <w:pPr>
        <w:rPr>
          <w:szCs w:val="24"/>
        </w:rPr>
      </w:pPr>
    </w:p>
    <w:p w:rsidR="00431433" w:rsidRPr="00DB5C63" w:rsidRDefault="00431433" w:rsidP="00431433">
      <w:pPr>
        <w:rPr>
          <w:szCs w:val="24"/>
        </w:rPr>
      </w:pPr>
      <w:r w:rsidRPr="00DB5C63">
        <w:rPr>
          <w:szCs w:val="24"/>
        </w:rPr>
        <w:lastRenderedPageBreak/>
        <w:t xml:space="preserve">After the interview process, the </w:t>
      </w:r>
      <w:r>
        <w:rPr>
          <w:szCs w:val="24"/>
        </w:rPr>
        <w:t xml:space="preserve">interview </w:t>
      </w:r>
      <w:r w:rsidRPr="00DB5C63">
        <w:rPr>
          <w:szCs w:val="24"/>
        </w:rPr>
        <w:t>panel will make a decision on the best option re</w:t>
      </w:r>
      <w:r w:rsidR="00750023">
        <w:rPr>
          <w:szCs w:val="24"/>
        </w:rPr>
        <w:t xml:space="preserve">garding organisation selection, </w:t>
      </w:r>
      <w:r w:rsidRPr="00DB5C63">
        <w:rPr>
          <w:szCs w:val="24"/>
        </w:rPr>
        <w:t xml:space="preserve">if deemed </w:t>
      </w:r>
      <w:r w:rsidR="00750023" w:rsidRPr="00DB5C63">
        <w:rPr>
          <w:szCs w:val="24"/>
        </w:rPr>
        <w:t>necessary;</w:t>
      </w:r>
      <w:r w:rsidRPr="00DB5C63">
        <w:rPr>
          <w:szCs w:val="24"/>
        </w:rPr>
        <w:t xml:space="preserve"> </w:t>
      </w:r>
      <w:r>
        <w:rPr>
          <w:szCs w:val="24"/>
        </w:rPr>
        <w:t xml:space="preserve">applicants </w:t>
      </w:r>
      <w:r w:rsidRPr="00DB5C63">
        <w:rPr>
          <w:szCs w:val="24"/>
        </w:rPr>
        <w:t xml:space="preserve">may be called back for second interviews. Final decisions will be reached and the successful organisation will be </w:t>
      </w:r>
      <w:r>
        <w:rPr>
          <w:szCs w:val="24"/>
        </w:rPr>
        <w:t>asked to sign a</w:t>
      </w:r>
      <w:r w:rsidRPr="00DB5C63">
        <w:rPr>
          <w:szCs w:val="24"/>
        </w:rPr>
        <w:t xml:space="preserve"> S</w:t>
      </w:r>
      <w:r w:rsidR="00702B8E">
        <w:rPr>
          <w:szCs w:val="24"/>
        </w:rPr>
        <w:t xml:space="preserve">ervice level Agreement with </w:t>
      </w:r>
      <w:r>
        <w:rPr>
          <w:szCs w:val="24"/>
        </w:rPr>
        <w:t>L</w:t>
      </w:r>
      <w:r w:rsidR="00702B8E">
        <w:rPr>
          <w:szCs w:val="24"/>
        </w:rPr>
        <w:t>C</w:t>
      </w:r>
      <w:r w:rsidR="00750023">
        <w:rPr>
          <w:szCs w:val="24"/>
        </w:rPr>
        <w:t xml:space="preserve">ETB for Revised Youth Funding Scheme </w:t>
      </w:r>
      <w:r>
        <w:rPr>
          <w:szCs w:val="24"/>
        </w:rPr>
        <w:t>commencement.</w:t>
      </w:r>
    </w:p>
    <w:p w:rsidR="00431433" w:rsidRPr="00D91490" w:rsidRDefault="00431433" w:rsidP="00431433">
      <w:pPr>
        <w:pStyle w:val="BodyText"/>
        <w:numPr>
          <w:ilvl w:val="0"/>
          <w:numId w:val="10"/>
        </w:numPr>
        <w:ind w:left="0"/>
        <w:rPr>
          <w:b/>
          <w:sz w:val="28"/>
        </w:rPr>
      </w:pPr>
      <w:r>
        <w:rPr>
          <w:b/>
          <w:sz w:val="28"/>
          <w:szCs w:val="24"/>
          <w:lang w:val="en-GB"/>
        </w:rPr>
        <w:t xml:space="preserve"> Financial </w:t>
      </w:r>
      <w:r w:rsidR="009D67F6">
        <w:rPr>
          <w:b/>
          <w:sz w:val="28"/>
          <w:szCs w:val="24"/>
          <w:lang w:val="en-GB"/>
        </w:rPr>
        <w:t>and Governance O</w:t>
      </w:r>
      <w:r w:rsidRPr="00D91490">
        <w:rPr>
          <w:b/>
          <w:sz w:val="28"/>
          <w:szCs w:val="24"/>
          <w:lang w:val="en-GB"/>
        </w:rPr>
        <w:t>versight</w:t>
      </w:r>
    </w:p>
    <w:p w:rsidR="00431433" w:rsidRPr="009D5F89" w:rsidRDefault="00431433" w:rsidP="00431433">
      <w:pPr>
        <w:rPr>
          <w:szCs w:val="24"/>
        </w:rPr>
      </w:pPr>
      <w:r w:rsidRPr="009D5F89">
        <w:rPr>
          <w:szCs w:val="24"/>
        </w:rPr>
        <w:t xml:space="preserve">Funding drawdowns will take place in a structured, measured manner and be overseen by </w:t>
      </w:r>
      <w:r w:rsidR="00126C8D">
        <w:rPr>
          <w:szCs w:val="24"/>
        </w:rPr>
        <w:t>LC</w:t>
      </w:r>
      <w:r w:rsidRPr="009D5F89">
        <w:rPr>
          <w:szCs w:val="24"/>
        </w:rPr>
        <w:t xml:space="preserve">ETB’s </w:t>
      </w:r>
      <w:r>
        <w:rPr>
          <w:szCs w:val="24"/>
        </w:rPr>
        <w:t>youth service/administration</w:t>
      </w:r>
      <w:r w:rsidRPr="009D5F89">
        <w:rPr>
          <w:szCs w:val="24"/>
        </w:rPr>
        <w:t xml:space="preserve"> department</w:t>
      </w:r>
      <w:r>
        <w:rPr>
          <w:szCs w:val="24"/>
        </w:rPr>
        <w:t xml:space="preserve">. </w:t>
      </w:r>
      <w:r w:rsidR="00702B8E">
        <w:rPr>
          <w:lang w:val="en-US"/>
        </w:rPr>
        <w:t>The LC</w:t>
      </w:r>
      <w:r w:rsidRPr="008E5A73">
        <w:rPr>
          <w:lang w:val="en-US"/>
        </w:rPr>
        <w:t xml:space="preserve">ETB’s </w:t>
      </w:r>
      <w:r>
        <w:rPr>
          <w:lang w:val="en-US"/>
        </w:rPr>
        <w:t>youth/administration</w:t>
      </w:r>
      <w:r w:rsidRPr="008E5A73">
        <w:rPr>
          <w:lang w:val="en-US"/>
        </w:rPr>
        <w:t xml:space="preserve"> department will work closely with the </w:t>
      </w:r>
      <w:r>
        <w:rPr>
          <w:lang w:val="en-US"/>
        </w:rPr>
        <w:t xml:space="preserve">successful applicant organisation(s) </w:t>
      </w:r>
      <w:r w:rsidRPr="008E5A73">
        <w:rPr>
          <w:lang w:val="en-US"/>
        </w:rPr>
        <w:t>to oversee and manage the fi</w:t>
      </w:r>
      <w:r>
        <w:rPr>
          <w:lang w:val="en-US"/>
        </w:rPr>
        <w:t>nancial requirements of this youth funding scheme</w:t>
      </w:r>
      <w:r w:rsidRPr="008E5A73">
        <w:rPr>
          <w:lang w:val="en-US"/>
        </w:rPr>
        <w:t>.  All financial oversight will follow good practice and in conjunction with existing audit requirements. As per</w:t>
      </w:r>
      <w:r>
        <w:rPr>
          <w:lang w:val="en-US"/>
        </w:rPr>
        <w:t xml:space="preserve"> </w:t>
      </w:r>
      <w:r w:rsidR="00702B8E">
        <w:rPr>
          <w:lang w:val="en-US"/>
        </w:rPr>
        <w:t>the SLA to be signed between LC</w:t>
      </w:r>
      <w:r>
        <w:rPr>
          <w:lang w:val="en-US"/>
        </w:rPr>
        <w:t>ETB and the successful</w:t>
      </w:r>
      <w:r w:rsidRPr="008E5A73">
        <w:rPr>
          <w:lang w:val="en-US"/>
        </w:rPr>
        <w:t xml:space="preserve"> organisation</w:t>
      </w:r>
      <w:r>
        <w:rPr>
          <w:lang w:val="en-US"/>
        </w:rPr>
        <w:t>s</w:t>
      </w:r>
      <w:r w:rsidR="00702B8E">
        <w:rPr>
          <w:lang w:val="en-US"/>
        </w:rPr>
        <w:t>, LC</w:t>
      </w:r>
      <w:r>
        <w:rPr>
          <w:lang w:val="en-GB"/>
        </w:rPr>
        <w:t xml:space="preserve">ETB will apply the following </w:t>
      </w:r>
      <w:r w:rsidRPr="008E5A73">
        <w:rPr>
          <w:lang w:val="en-GB"/>
        </w:rPr>
        <w:t>principles:</w:t>
      </w:r>
    </w:p>
    <w:p w:rsidR="00431433" w:rsidRPr="008E5A73" w:rsidRDefault="00431433" w:rsidP="00431433">
      <w:pPr>
        <w:pStyle w:val="NoSpacing"/>
        <w:ind w:left="426" w:firstLine="284"/>
        <w:rPr>
          <w:i/>
          <w:lang w:val="en-GB"/>
        </w:rPr>
      </w:pPr>
      <w:r w:rsidRPr="008E5A73">
        <w:rPr>
          <w:lang w:val="en-GB"/>
        </w:rPr>
        <w:t>a)</w:t>
      </w:r>
      <w:r w:rsidRPr="008E5A73">
        <w:rPr>
          <w:lang w:val="en-GB"/>
        </w:rPr>
        <w:tab/>
      </w:r>
      <w:r w:rsidRPr="008E5A73">
        <w:rPr>
          <w:i/>
          <w:lang w:val="en-GB"/>
        </w:rPr>
        <w:t>Transparent and Fair</w:t>
      </w:r>
    </w:p>
    <w:p w:rsidR="00431433" w:rsidRPr="008E5A73" w:rsidRDefault="00431433" w:rsidP="00431433">
      <w:pPr>
        <w:pStyle w:val="NoSpacing"/>
        <w:ind w:left="426" w:firstLine="284"/>
        <w:rPr>
          <w:i/>
          <w:lang w:val="en-GB"/>
        </w:rPr>
      </w:pPr>
      <w:r w:rsidRPr="008E5A73">
        <w:rPr>
          <w:i/>
          <w:lang w:val="en-GB"/>
        </w:rPr>
        <w:t>b)</w:t>
      </w:r>
      <w:r w:rsidRPr="008E5A73">
        <w:rPr>
          <w:i/>
          <w:lang w:val="en-GB"/>
        </w:rPr>
        <w:tab/>
        <w:t>Graduated and Proportionate</w:t>
      </w:r>
    </w:p>
    <w:p w:rsidR="00431433" w:rsidRPr="008E5A73" w:rsidRDefault="00431433" w:rsidP="00431433">
      <w:pPr>
        <w:pStyle w:val="NoSpacing"/>
        <w:ind w:left="426" w:firstLine="284"/>
        <w:rPr>
          <w:i/>
          <w:lang w:val="en-GB"/>
        </w:rPr>
      </w:pPr>
      <w:r w:rsidRPr="008E5A73">
        <w:rPr>
          <w:i/>
          <w:lang w:val="en-GB"/>
        </w:rPr>
        <w:t>c)</w:t>
      </w:r>
      <w:r w:rsidRPr="008E5A73">
        <w:rPr>
          <w:i/>
          <w:lang w:val="en-GB"/>
        </w:rPr>
        <w:tab/>
        <w:t>Solution-Focussed</w:t>
      </w:r>
    </w:p>
    <w:p w:rsidR="00431433" w:rsidRPr="008E5A73" w:rsidRDefault="00431433" w:rsidP="00431433">
      <w:pPr>
        <w:pStyle w:val="NoSpacing"/>
        <w:ind w:left="426" w:firstLine="284"/>
        <w:rPr>
          <w:i/>
          <w:lang w:val="en-GB"/>
        </w:rPr>
      </w:pPr>
      <w:r w:rsidRPr="008E5A73">
        <w:rPr>
          <w:i/>
          <w:lang w:val="en-GB"/>
        </w:rPr>
        <w:t>d)</w:t>
      </w:r>
      <w:r w:rsidRPr="008E5A73">
        <w:rPr>
          <w:i/>
          <w:lang w:val="en-GB"/>
        </w:rPr>
        <w:tab/>
        <w:t>Emphasis on Service and programme maintenance</w:t>
      </w:r>
    </w:p>
    <w:p w:rsidR="00126C8D" w:rsidRDefault="00126C8D" w:rsidP="00126C8D">
      <w:pPr>
        <w:ind w:left="426" w:firstLine="284"/>
        <w:rPr>
          <w:i/>
          <w:szCs w:val="24"/>
          <w:lang w:val="en-GB"/>
        </w:rPr>
      </w:pPr>
      <w:r>
        <w:rPr>
          <w:i/>
          <w:szCs w:val="24"/>
          <w:lang w:val="en-GB"/>
        </w:rPr>
        <w:t>e)</w:t>
      </w:r>
      <w:r>
        <w:rPr>
          <w:i/>
          <w:szCs w:val="24"/>
          <w:lang w:val="en-GB"/>
        </w:rPr>
        <w:tab/>
        <w:t>Minimisation of Risk</w:t>
      </w:r>
    </w:p>
    <w:p w:rsidR="00431433" w:rsidRPr="00126C8D" w:rsidRDefault="00126C8D" w:rsidP="00126C8D">
      <w:pPr>
        <w:rPr>
          <w:i/>
          <w:szCs w:val="24"/>
          <w:lang w:val="en-GB"/>
        </w:rPr>
      </w:pPr>
      <w:r w:rsidRPr="00126C8D">
        <w:rPr>
          <w:szCs w:val="24"/>
          <w:lang w:val="en-GB"/>
        </w:rPr>
        <w:t>LC</w:t>
      </w:r>
      <w:r w:rsidR="00431433" w:rsidRPr="008E5A73">
        <w:rPr>
          <w:szCs w:val="24"/>
          <w:lang w:val="en-GB"/>
        </w:rPr>
        <w:t xml:space="preserve">ETB will ensure that public funds disbursed to the </w:t>
      </w:r>
      <w:r w:rsidR="00431433">
        <w:rPr>
          <w:szCs w:val="24"/>
          <w:lang w:val="en-GB"/>
        </w:rPr>
        <w:t>successful organisation(s)</w:t>
      </w:r>
      <w:r w:rsidR="00431433" w:rsidRPr="008E5A73">
        <w:rPr>
          <w:szCs w:val="24"/>
          <w:lang w:val="en-GB"/>
        </w:rPr>
        <w:t xml:space="preserve"> are adequately accounted for and subject to the appropriate level of financial control and seek to ensure that value for money is achieved in relation to the service delivery. This will be achieved as follows:</w:t>
      </w:r>
      <w:r w:rsidR="00431433" w:rsidRPr="008E5A73">
        <w:rPr>
          <w:szCs w:val="24"/>
          <w:lang w:val="en-US"/>
        </w:rPr>
        <w:t xml:space="preserve"> </w:t>
      </w:r>
    </w:p>
    <w:p w:rsidR="00431433" w:rsidRPr="00785EBE" w:rsidRDefault="00431433" w:rsidP="00431433">
      <w:pPr>
        <w:rPr>
          <w:b/>
          <w:szCs w:val="24"/>
          <w:u w:val="single"/>
          <w:lang w:val="en-GB"/>
        </w:rPr>
      </w:pPr>
      <w:r w:rsidRPr="00785EBE">
        <w:rPr>
          <w:b/>
          <w:szCs w:val="24"/>
          <w:u w:val="single"/>
          <w:lang w:val="en-US"/>
        </w:rPr>
        <w:t>Financial oversight:</w:t>
      </w:r>
    </w:p>
    <w:p w:rsidR="00431433" w:rsidRPr="008E5A73" w:rsidRDefault="00431433" w:rsidP="00431433">
      <w:pPr>
        <w:numPr>
          <w:ilvl w:val="0"/>
          <w:numId w:val="24"/>
        </w:numPr>
        <w:rPr>
          <w:szCs w:val="24"/>
          <w:lang w:val="en-GB"/>
        </w:rPr>
      </w:pPr>
      <w:r>
        <w:rPr>
          <w:szCs w:val="24"/>
          <w:lang w:val="en-GB"/>
        </w:rPr>
        <w:t xml:space="preserve">A </w:t>
      </w:r>
      <w:r w:rsidRPr="00785EBE">
        <w:rPr>
          <w:b/>
          <w:szCs w:val="24"/>
          <w:lang w:val="en-GB"/>
        </w:rPr>
        <w:t>yearly</w:t>
      </w:r>
      <w:r>
        <w:rPr>
          <w:szCs w:val="24"/>
          <w:lang w:val="en-GB"/>
        </w:rPr>
        <w:t xml:space="preserve"> </w:t>
      </w:r>
      <w:r w:rsidRPr="00785EBE">
        <w:rPr>
          <w:b/>
          <w:szCs w:val="24"/>
          <w:lang w:val="en-GB"/>
        </w:rPr>
        <w:t>financial plan</w:t>
      </w:r>
      <w:r>
        <w:rPr>
          <w:szCs w:val="24"/>
          <w:lang w:val="en-GB"/>
        </w:rPr>
        <w:t xml:space="preserve"> will</w:t>
      </w:r>
      <w:r w:rsidRPr="008E5A73">
        <w:rPr>
          <w:szCs w:val="24"/>
          <w:lang w:val="en-GB"/>
        </w:rPr>
        <w:t xml:space="preserve"> be submitted at the start of each financial year, detailing financial forecasting </w:t>
      </w:r>
    </w:p>
    <w:p w:rsidR="00431433" w:rsidRPr="008E5A73" w:rsidRDefault="00431433" w:rsidP="00431433">
      <w:pPr>
        <w:numPr>
          <w:ilvl w:val="0"/>
          <w:numId w:val="24"/>
        </w:numPr>
        <w:rPr>
          <w:szCs w:val="24"/>
        </w:rPr>
      </w:pPr>
      <w:r w:rsidRPr="008E5A73">
        <w:rPr>
          <w:szCs w:val="24"/>
        </w:rPr>
        <w:t xml:space="preserve">A minimum of </w:t>
      </w:r>
      <w:r>
        <w:rPr>
          <w:szCs w:val="24"/>
        </w:rPr>
        <w:t xml:space="preserve">four </w:t>
      </w:r>
      <w:r w:rsidRPr="008E5A73">
        <w:rPr>
          <w:szCs w:val="24"/>
        </w:rPr>
        <w:t xml:space="preserve">quarterly </w:t>
      </w:r>
      <w:r>
        <w:rPr>
          <w:b/>
          <w:szCs w:val="24"/>
        </w:rPr>
        <w:t>financial and activity</w:t>
      </w:r>
      <w:r w:rsidRPr="008E5A73">
        <w:rPr>
          <w:b/>
          <w:szCs w:val="24"/>
        </w:rPr>
        <w:t xml:space="preserve"> reports</w:t>
      </w:r>
      <w:r w:rsidRPr="008E5A73">
        <w:rPr>
          <w:szCs w:val="24"/>
        </w:rPr>
        <w:t xml:space="preserve"> will be submitted by the service provider, detailing the </w:t>
      </w:r>
      <w:r w:rsidRPr="008E5A73">
        <w:rPr>
          <w:szCs w:val="24"/>
          <w:u w:val="single"/>
        </w:rPr>
        <w:t>monthly</w:t>
      </w:r>
      <w:r w:rsidRPr="008E5A73">
        <w:rPr>
          <w:szCs w:val="24"/>
        </w:rPr>
        <w:t xml:space="preserve"> income and expenditure. </w:t>
      </w:r>
    </w:p>
    <w:p w:rsidR="00431433" w:rsidRPr="00B21385" w:rsidRDefault="00431433" w:rsidP="00431433">
      <w:pPr>
        <w:numPr>
          <w:ilvl w:val="0"/>
          <w:numId w:val="24"/>
        </w:numPr>
        <w:rPr>
          <w:szCs w:val="24"/>
        </w:rPr>
      </w:pPr>
      <w:r>
        <w:rPr>
          <w:szCs w:val="24"/>
        </w:rPr>
        <w:t>E</w:t>
      </w:r>
      <w:r w:rsidRPr="008E5A73">
        <w:rPr>
          <w:szCs w:val="24"/>
        </w:rPr>
        <w:t xml:space="preserve">nd of year </w:t>
      </w:r>
      <w:r w:rsidRPr="00785EBE">
        <w:rPr>
          <w:b/>
          <w:szCs w:val="24"/>
        </w:rPr>
        <w:t>audited accounts</w:t>
      </w:r>
      <w:r w:rsidR="00702B8E">
        <w:rPr>
          <w:szCs w:val="24"/>
        </w:rPr>
        <w:t xml:space="preserve"> will be submitted to the LC</w:t>
      </w:r>
      <w:r w:rsidRPr="008E5A73">
        <w:rPr>
          <w:szCs w:val="24"/>
        </w:rPr>
        <w:t>ETB.</w:t>
      </w:r>
    </w:p>
    <w:p w:rsidR="00431433" w:rsidRDefault="00431433" w:rsidP="00431433">
      <w:pPr>
        <w:rPr>
          <w:b/>
          <w:szCs w:val="24"/>
          <w:u w:val="single"/>
          <w:lang w:val="en-GB"/>
        </w:rPr>
      </w:pPr>
    </w:p>
    <w:p w:rsidR="00431433" w:rsidRPr="00785EBE" w:rsidRDefault="00431433" w:rsidP="00431433">
      <w:pPr>
        <w:rPr>
          <w:b/>
          <w:szCs w:val="24"/>
          <w:u w:val="single"/>
        </w:rPr>
      </w:pPr>
      <w:r w:rsidRPr="00785EBE">
        <w:rPr>
          <w:b/>
          <w:szCs w:val="24"/>
          <w:u w:val="single"/>
          <w:lang w:val="en-GB"/>
        </w:rPr>
        <w:t>Governance oversight:</w:t>
      </w:r>
    </w:p>
    <w:p w:rsidR="00431433" w:rsidRPr="008E5A73" w:rsidRDefault="00702B8E" w:rsidP="00431433">
      <w:pPr>
        <w:numPr>
          <w:ilvl w:val="0"/>
          <w:numId w:val="25"/>
        </w:numPr>
        <w:rPr>
          <w:szCs w:val="24"/>
          <w:lang w:val="en-GB"/>
        </w:rPr>
      </w:pPr>
      <w:r>
        <w:rPr>
          <w:szCs w:val="24"/>
          <w:lang w:val="en-GB"/>
        </w:rPr>
        <w:t>LC</w:t>
      </w:r>
      <w:r w:rsidR="00431433" w:rsidRPr="008E5A73">
        <w:rPr>
          <w:szCs w:val="24"/>
          <w:lang w:val="en-GB"/>
        </w:rPr>
        <w:t>ETB will determine</w:t>
      </w:r>
      <w:r w:rsidR="00431433">
        <w:rPr>
          <w:szCs w:val="24"/>
          <w:lang w:val="en-GB"/>
        </w:rPr>
        <w:t>, in conjunction with the service provider(s),</w:t>
      </w:r>
      <w:r w:rsidR="00431433" w:rsidRPr="008E5A73">
        <w:rPr>
          <w:szCs w:val="24"/>
          <w:lang w:val="en-GB"/>
        </w:rPr>
        <w:t xml:space="preserve"> </w:t>
      </w:r>
      <w:r w:rsidR="00431433" w:rsidRPr="00857CFE">
        <w:rPr>
          <w:b/>
          <w:szCs w:val="24"/>
          <w:lang w:val="en-GB"/>
        </w:rPr>
        <w:t>the hours of service</w:t>
      </w:r>
      <w:r w:rsidR="00431433">
        <w:rPr>
          <w:szCs w:val="24"/>
          <w:lang w:val="en-GB"/>
        </w:rPr>
        <w:t xml:space="preserve"> </w:t>
      </w:r>
      <w:r w:rsidR="00431433" w:rsidRPr="0098113B">
        <w:rPr>
          <w:szCs w:val="24"/>
          <w:lang w:val="en-GB"/>
        </w:rPr>
        <w:t xml:space="preserve">/ </w:t>
      </w:r>
      <w:r w:rsidR="00431433" w:rsidRPr="008E5A73">
        <w:rPr>
          <w:szCs w:val="24"/>
          <w:lang w:val="en-GB"/>
        </w:rPr>
        <w:t>location</w:t>
      </w:r>
      <w:r w:rsidR="00431433">
        <w:rPr>
          <w:szCs w:val="24"/>
          <w:lang w:val="en-GB"/>
        </w:rPr>
        <w:t xml:space="preserve"> / target group</w:t>
      </w:r>
      <w:r w:rsidR="00431433" w:rsidRPr="008E5A73">
        <w:rPr>
          <w:szCs w:val="24"/>
          <w:lang w:val="en-GB"/>
        </w:rPr>
        <w:t xml:space="preserve"> i.e. the service will primarily operate out-of- school - at evenings / night-times / weekends, meeting the needs of young people between </w:t>
      </w:r>
      <w:r w:rsidR="00431433" w:rsidRPr="000A05CB">
        <w:rPr>
          <w:szCs w:val="24"/>
          <w:lang w:val="en-GB"/>
        </w:rPr>
        <w:t xml:space="preserve">10 -24 </w:t>
      </w:r>
      <w:r w:rsidR="00431433" w:rsidRPr="008E5A73">
        <w:rPr>
          <w:szCs w:val="24"/>
          <w:lang w:val="en-GB"/>
        </w:rPr>
        <w:t>years (the young people’s needs will be assessed by the service provider prior to engagement of young people and be updated every three y</w:t>
      </w:r>
      <w:r w:rsidR="00431433">
        <w:rPr>
          <w:szCs w:val="24"/>
          <w:lang w:val="en-GB"/>
        </w:rPr>
        <w:t xml:space="preserve">ears), and in the geographical </w:t>
      </w:r>
      <w:r w:rsidR="00431433" w:rsidRPr="008E5A73">
        <w:rPr>
          <w:szCs w:val="24"/>
          <w:lang w:val="en-GB"/>
        </w:rPr>
        <w:t>locations determined to be most disadvantaged</w:t>
      </w:r>
      <w:r w:rsidR="00431433">
        <w:rPr>
          <w:szCs w:val="24"/>
          <w:lang w:val="en-GB"/>
        </w:rPr>
        <w:t>.</w:t>
      </w:r>
    </w:p>
    <w:p w:rsidR="00431433" w:rsidRPr="008E5A73" w:rsidRDefault="00431433" w:rsidP="00431433">
      <w:pPr>
        <w:numPr>
          <w:ilvl w:val="0"/>
          <w:numId w:val="25"/>
        </w:numPr>
        <w:rPr>
          <w:szCs w:val="24"/>
          <w:lang w:val="en-GB"/>
        </w:rPr>
      </w:pPr>
      <w:r w:rsidRPr="008E5A73">
        <w:rPr>
          <w:szCs w:val="24"/>
          <w:lang w:val="en-GB"/>
        </w:rPr>
        <w:lastRenderedPageBreak/>
        <w:t xml:space="preserve">A </w:t>
      </w:r>
      <w:r w:rsidRPr="00857CFE">
        <w:rPr>
          <w:b/>
          <w:szCs w:val="24"/>
          <w:lang w:val="en-GB"/>
        </w:rPr>
        <w:t>three year plan</w:t>
      </w:r>
      <w:r w:rsidRPr="008E5A73">
        <w:rPr>
          <w:szCs w:val="24"/>
          <w:lang w:val="en-GB"/>
        </w:rPr>
        <w:t xml:space="preserve">, plus </w:t>
      </w:r>
      <w:r w:rsidRPr="00857CFE">
        <w:rPr>
          <w:b/>
          <w:szCs w:val="24"/>
          <w:lang w:val="en-GB"/>
        </w:rPr>
        <w:t>yearly annual plan</w:t>
      </w:r>
      <w:r w:rsidR="00702B8E">
        <w:rPr>
          <w:szCs w:val="24"/>
          <w:lang w:val="en-GB"/>
        </w:rPr>
        <w:t>, will be submitted to LC</w:t>
      </w:r>
      <w:r w:rsidRPr="008E5A73">
        <w:rPr>
          <w:szCs w:val="24"/>
          <w:lang w:val="en-GB"/>
        </w:rPr>
        <w:t>ETB by the service provider, detailing the short / medium / long term outcomes being addressed over the time period. The pl</w:t>
      </w:r>
      <w:r>
        <w:rPr>
          <w:szCs w:val="24"/>
          <w:lang w:val="en-GB"/>
        </w:rPr>
        <w:t>ans will be designed using a</w:t>
      </w:r>
      <w:r w:rsidRPr="008E5A73">
        <w:rPr>
          <w:szCs w:val="24"/>
          <w:lang w:val="en-GB"/>
        </w:rPr>
        <w:t xml:space="preserve"> logic model and clearly show linkage t</w:t>
      </w:r>
      <w:r>
        <w:rPr>
          <w:szCs w:val="24"/>
          <w:lang w:val="en-GB"/>
        </w:rPr>
        <w:t>o the seven outcomes from the VF</w:t>
      </w:r>
      <w:r w:rsidRPr="008E5A73">
        <w:rPr>
          <w:szCs w:val="24"/>
          <w:lang w:val="en-GB"/>
        </w:rPr>
        <w:t xml:space="preserve">MPR report and five outcomes from Better Outcomes, Brighter Futures </w:t>
      </w:r>
    </w:p>
    <w:p w:rsidR="00431433" w:rsidRPr="008E5A73" w:rsidRDefault="00431433" w:rsidP="00431433">
      <w:pPr>
        <w:numPr>
          <w:ilvl w:val="0"/>
          <w:numId w:val="25"/>
        </w:numPr>
        <w:rPr>
          <w:szCs w:val="24"/>
          <w:lang w:val="en-GB"/>
        </w:rPr>
      </w:pPr>
      <w:r w:rsidRPr="008E5A73">
        <w:rPr>
          <w:szCs w:val="24"/>
          <w:lang w:val="en-GB"/>
        </w:rPr>
        <w:t xml:space="preserve">The </w:t>
      </w:r>
      <w:r w:rsidRPr="00857CFE">
        <w:rPr>
          <w:b/>
          <w:szCs w:val="24"/>
          <w:lang w:val="en-GB"/>
        </w:rPr>
        <w:t>National Quality Standards Framework</w:t>
      </w:r>
      <w:r w:rsidRPr="008E5A73">
        <w:rPr>
          <w:szCs w:val="24"/>
          <w:lang w:val="en-GB"/>
        </w:rPr>
        <w:t xml:space="preserve"> will be undertaken with the service provider, overseen by the</w:t>
      </w:r>
      <w:r w:rsidR="00126C8D">
        <w:rPr>
          <w:szCs w:val="24"/>
          <w:lang w:val="en-GB"/>
        </w:rPr>
        <w:t xml:space="preserve"> </w:t>
      </w:r>
      <w:r w:rsidR="00702B8E">
        <w:rPr>
          <w:szCs w:val="24"/>
          <w:lang w:val="en-GB"/>
        </w:rPr>
        <w:t>LC</w:t>
      </w:r>
      <w:r>
        <w:rPr>
          <w:szCs w:val="24"/>
          <w:lang w:val="en-GB"/>
        </w:rPr>
        <w:t xml:space="preserve">ETB </w:t>
      </w:r>
      <w:r w:rsidRPr="008E5A73">
        <w:rPr>
          <w:szCs w:val="24"/>
          <w:lang w:val="en-GB"/>
        </w:rPr>
        <w:t>Youth Officer</w:t>
      </w:r>
      <w:r>
        <w:rPr>
          <w:szCs w:val="24"/>
          <w:lang w:val="en-GB"/>
        </w:rPr>
        <w:t>(s)</w:t>
      </w:r>
      <w:r w:rsidRPr="008E5A73">
        <w:rPr>
          <w:szCs w:val="24"/>
          <w:lang w:val="en-GB"/>
        </w:rPr>
        <w:t xml:space="preserve"> – all existing monitoring and assessment aspects of the framework will be delivered</w:t>
      </w:r>
    </w:p>
    <w:p w:rsidR="00431433" w:rsidRPr="008E5A73" w:rsidRDefault="00431433" w:rsidP="00431433">
      <w:pPr>
        <w:numPr>
          <w:ilvl w:val="0"/>
          <w:numId w:val="25"/>
        </w:numPr>
        <w:rPr>
          <w:szCs w:val="24"/>
          <w:lang w:val="en-GB"/>
        </w:rPr>
      </w:pPr>
      <w:r w:rsidRPr="008E5A73">
        <w:rPr>
          <w:szCs w:val="24"/>
          <w:lang w:val="en-GB"/>
        </w:rPr>
        <w:t xml:space="preserve">A minimum of twice yearly meetings will be held with </w:t>
      </w:r>
      <w:r w:rsidRPr="00857CFE">
        <w:rPr>
          <w:b/>
          <w:szCs w:val="24"/>
          <w:lang w:val="en-GB"/>
        </w:rPr>
        <w:t>service provider management</w:t>
      </w:r>
      <w:r w:rsidRPr="008E5A73">
        <w:rPr>
          <w:szCs w:val="24"/>
          <w:lang w:val="en-GB"/>
        </w:rPr>
        <w:t xml:space="preserve"> (Executive, Board of Management / Directors </w:t>
      </w:r>
      <w:r w:rsidR="00750023" w:rsidRPr="008E5A73">
        <w:rPr>
          <w:szCs w:val="24"/>
          <w:lang w:val="en-GB"/>
        </w:rPr>
        <w:t>etc.</w:t>
      </w:r>
      <w:r w:rsidRPr="008E5A73">
        <w:rPr>
          <w:szCs w:val="24"/>
          <w:lang w:val="en-GB"/>
        </w:rPr>
        <w:t xml:space="preserve">) </w:t>
      </w:r>
    </w:p>
    <w:p w:rsidR="00431433" w:rsidRPr="008E5A73" w:rsidRDefault="00431433" w:rsidP="00431433">
      <w:pPr>
        <w:numPr>
          <w:ilvl w:val="0"/>
          <w:numId w:val="25"/>
        </w:numPr>
        <w:rPr>
          <w:szCs w:val="24"/>
          <w:lang w:val="en-GB"/>
        </w:rPr>
      </w:pPr>
      <w:r w:rsidRPr="00857CFE">
        <w:rPr>
          <w:b/>
          <w:szCs w:val="24"/>
          <w:lang w:val="en-GB"/>
        </w:rPr>
        <w:t>Quarterly activity reports</w:t>
      </w:r>
      <w:r w:rsidRPr="008E5A73">
        <w:rPr>
          <w:szCs w:val="24"/>
          <w:lang w:val="en-GB"/>
        </w:rPr>
        <w:t xml:space="preserve"> will be submitted by the service provider, detailing</w:t>
      </w:r>
      <w:r>
        <w:rPr>
          <w:szCs w:val="24"/>
          <w:lang w:val="en-GB"/>
        </w:rPr>
        <w:t xml:space="preserve"> </w:t>
      </w:r>
      <w:r w:rsidRPr="008E5A73">
        <w:rPr>
          <w:szCs w:val="24"/>
          <w:lang w:val="en-GB"/>
        </w:rPr>
        <w:t xml:space="preserve">the numbers of young people engaged, the activities / programme delivered, the outcomes being met etc. </w:t>
      </w:r>
    </w:p>
    <w:p w:rsidR="00431433" w:rsidRDefault="00431433" w:rsidP="00431433">
      <w:pPr>
        <w:numPr>
          <w:ilvl w:val="0"/>
          <w:numId w:val="25"/>
        </w:numPr>
        <w:rPr>
          <w:szCs w:val="24"/>
          <w:lang w:val="en-GB"/>
        </w:rPr>
      </w:pPr>
      <w:r w:rsidRPr="00143BB1">
        <w:rPr>
          <w:b/>
          <w:szCs w:val="24"/>
          <w:lang w:val="en-GB"/>
        </w:rPr>
        <w:t>Site visits</w:t>
      </w:r>
      <w:r w:rsidRPr="00143BB1">
        <w:rPr>
          <w:szCs w:val="24"/>
          <w:lang w:val="en-GB"/>
        </w:rPr>
        <w:t xml:space="preserve"> </w:t>
      </w:r>
      <w:r>
        <w:rPr>
          <w:szCs w:val="24"/>
          <w:lang w:val="en-GB"/>
        </w:rPr>
        <w:t>(scheduled /</w:t>
      </w:r>
      <w:r w:rsidRPr="00143BB1">
        <w:rPr>
          <w:szCs w:val="24"/>
          <w:lang w:val="en-GB"/>
        </w:rPr>
        <w:t xml:space="preserve"> unscheduled) will be carried out periodically, </w:t>
      </w:r>
      <w:r>
        <w:rPr>
          <w:szCs w:val="24"/>
          <w:lang w:val="en-GB"/>
        </w:rPr>
        <w:t xml:space="preserve">checking the times </w:t>
      </w:r>
      <w:r w:rsidRPr="00143BB1">
        <w:rPr>
          <w:szCs w:val="24"/>
          <w:lang w:val="en-GB"/>
        </w:rPr>
        <w:t xml:space="preserve">youth </w:t>
      </w:r>
      <w:r>
        <w:rPr>
          <w:szCs w:val="24"/>
          <w:lang w:val="en-GB"/>
        </w:rPr>
        <w:t>building</w:t>
      </w:r>
      <w:r w:rsidRPr="00143BB1">
        <w:rPr>
          <w:szCs w:val="24"/>
          <w:lang w:val="en-GB"/>
        </w:rPr>
        <w:t>s are open,</w:t>
      </w:r>
      <w:r>
        <w:rPr>
          <w:szCs w:val="24"/>
          <w:lang w:val="en-GB"/>
        </w:rPr>
        <w:t xml:space="preserve"> </w:t>
      </w:r>
      <w:r w:rsidRPr="00143BB1">
        <w:rPr>
          <w:szCs w:val="24"/>
          <w:lang w:val="en-GB"/>
        </w:rPr>
        <w:t>number of young people attending</w:t>
      </w:r>
      <w:r>
        <w:rPr>
          <w:szCs w:val="24"/>
          <w:lang w:val="en-GB"/>
        </w:rPr>
        <w:t xml:space="preserve">, </w:t>
      </w:r>
      <w:r w:rsidRPr="00143BB1">
        <w:rPr>
          <w:szCs w:val="24"/>
          <w:lang w:val="en-GB"/>
        </w:rPr>
        <w:t>activities / programmes being offered in relation to the plan</w:t>
      </w:r>
      <w:r>
        <w:rPr>
          <w:szCs w:val="24"/>
          <w:lang w:val="en-GB"/>
        </w:rPr>
        <w:t>, financial monitoring</w:t>
      </w:r>
      <w:r w:rsidRPr="00143BB1">
        <w:rPr>
          <w:szCs w:val="24"/>
          <w:lang w:val="en-GB"/>
        </w:rPr>
        <w:t xml:space="preserve"> </w:t>
      </w:r>
      <w:r>
        <w:rPr>
          <w:szCs w:val="24"/>
          <w:lang w:val="en-GB"/>
        </w:rPr>
        <w:t>etc.</w:t>
      </w:r>
    </w:p>
    <w:p w:rsidR="00431433" w:rsidRPr="00143BB1" w:rsidRDefault="00702B8E" w:rsidP="00431433">
      <w:pPr>
        <w:numPr>
          <w:ilvl w:val="0"/>
          <w:numId w:val="25"/>
        </w:numPr>
        <w:rPr>
          <w:szCs w:val="24"/>
          <w:lang w:val="en-GB"/>
        </w:rPr>
      </w:pPr>
      <w:r>
        <w:rPr>
          <w:szCs w:val="24"/>
          <w:lang w:val="en-GB"/>
        </w:rPr>
        <w:t>LC</w:t>
      </w:r>
      <w:r w:rsidR="00431433" w:rsidRPr="00143BB1">
        <w:rPr>
          <w:szCs w:val="24"/>
          <w:lang w:val="en-GB"/>
        </w:rPr>
        <w:t xml:space="preserve">ETB will retain the right to nominate a representative to all service provider interview panels for </w:t>
      </w:r>
      <w:r w:rsidR="00431433" w:rsidRPr="00143BB1">
        <w:rPr>
          <w:b/>
          <w:szCs w:val="24"/>
          <w:lang w:val="en-GB"/>
        </w:rPr>
        <w:t>staffing recruitment</w:t>
      </w:r>
      <w:r w:rsidR="00431433">
        <w:rPr>
          <w:b/>
          <w:szCs w:val="24"/>
          <w:lang w:val="en-GB"/>
        </w:rPr>
        <w:t>.</w:t>
      </w:r>
    </w:p>
    <w:p w:rsidR="00431433" w:rsidRPr="003E35D9" w:rsidRDefault="00431433" w:rsidP="00431433">
      <w:pPr>
        <w:pStyle w:val="BodyText"/>
        <w:numPr>
          <w:ilvl w:val="0"/>
          <w:numId w:val="10"/>
        </w:numPr>
        <w:ind w:left="0"/>
        <w:rPr>
          <w:b/>
          <w:sz w:val="28"/>
        </w:rPr>
      </w:pPr>
      <w:r>
        <w:rPr>
          <w:b/>
          <w:sz w:val="28"/>
          <w:szCs w:val="24"/>
        </w:rPr>
        <w:t xml:space="preserve"> Return of Application Form &amp; Pre-Qualification Questionnaire</w:t>
      </w:r>
    </w:p>
    <w:p w:rsidR="00431433" w:rsidRPr="00702B8E" w:rsidRDefault="00431433" w:rsidP="00431433">
      <w:pPr>
        <w:pStyle w:val="BodyText"/>
        <w:rPr>
          <w:color w:val="FF0000"/>
        </w:rPr>
      </w:pPr>
      <w:r>
        <w:t xml:space="preserve">Completed </w:t>
      </w:r>
      <w:r w:rsidRPr="00DD07A0">
        <w:rPr>
          <w:b/>
        </w:rPr>
        <w:t>Application Form</w:t>
      </w:r>
      <w:r>
        <w:t xml:space="preserve"> and </w:t>
      </w:r>
      <w:r w:rsidRPr="00DD07A0">
        <w:rPr>
          <w:b/>
        </w:rPr>
        <w:t>Pre-Qualification</w:t>
      </w:r>
      <w:r>
        <w:t xml:space="preserve"> </w:t>
      </w:r>
      <w:r>
        <w:rPr>
          <w:b/>
        </w:rPr>
        <w:t>Questionnaire</w:t>
      </w:r>
      <w:r>
        <w:t xml:space="preserve"> are to be </w:t>
      </w:r>
      <w:r w:rsidR="00750023">
        <w:t>returned,</w:t>
      </w:r>
      <w:r>
        <w:t xml:space="preserve"> </w:t>
      </w:r>
      <w:r w:rsidRPr="00595DE5">
        <w:rPr>
          <w:b/>
          <w:u w:val="single"/>
        </w:rPr>
        <w:t>in</w:t>
      </w:r>
      <w:r>
        <w:rPr>
          <w:b/>
          <w:u w:val="single"/>
        </w:rPr>
        <w:t xml:space="preserve"> 4</w:t>
      </w:r>
      <w:r w:rsidRPr="00595DE5">
        <w:rPr>
          <w:b/>
          <w:u w:val="single"/>
        </w:rPr>
        <w:t xml:space="preserve"> hard </w:t>
      </w:r>
      <w:r>
        <w:rPr>
          <w:b/>
          <w:u w:val="single"/>
        </w:rPr>
        <w:t>copies</w:t>
      </w:r>
      <w:r>
        <w:t xml:space="preserve">, by </w:t>
      </w:r>
      <w:r w:rsidRPr="00126C8D">
        <w:rPr>
          <w:b/>
          <w:color w:val="FF0000"/>
        </w:rPr>
        <w:t xml:space="preserve">12pm </w:t>
      </w:r>
      <w:r w:rsidR="00126C8D" w:rsidRPr="00126C8D">
        <w:rPr>
          <w:b/>
          <w:color w:val="FF0000"/>
        </w:rPr>
        <w:t xml:space="preserve">Friday </w:t>
      </w:r>
      <w:r w:rsidR="00750023">
        <w:rPr>
          <w:b/>
          <w:color w:val="FF0000"/>
        </w:rPr>
        <w:t>9</w:t>
      </w:r>
      <w:r w:rsidR="00750023" w:rsidRPr="00750023">
        <w:rPr>
          <w:b/>
          <w:color w:val="FF0000"/>
          <w:vertAlign w:val="superscript"/>
        </w:rPr>
        <w:t>th</w:t>
      </w:r>
      <w:r w:rsidR="00750023">
        <w:rPr>
          <w:b/>
          <w:color w:val="FF0000"/>
        </w:rPr>
        <w:t xml:space="preserve"> February 2018 </w:t>
      </w:r>
    </w:p>
    <w:p w:rsidR="00702B8E" w:rsidRDefault="00702B8E" w:rsidP="00431433">
      <w:pPr>
        <w:pStyle w:val="NoSpacing"/>
        <w:shd w:val="clear" w:color="auto" w:fill="F2F2F2" w:themeFill="background1" w:themeFillShade="F2"/>
        <w:rPr>
          <w:b/>
        </w:rPr>
      </w:pPr>
      <w:r>
        <w:rPr>
          <w:b/>
        </w:rPr>
        <w:t>George O Callaghan</w:t>
      </w:r>
    </w:p>
    <w:p w:rsidR="00431433" w:rsidRDefault="00431433" w:rsidP="00431433">
      <w:pPr>
        <w:pStyle w:val="NoSpacing"/>
        <w:shd w:val="clear" w:color="auto" w:fill="F2F2F2" w:themeFill="background1" w:themeFillShade="F2"/>
        <w:rPr>
          <w:b/>
        </w:rPr>
      </w:pPr>
      <w:r>
        <w:rPr>
          <w:b/>
        </w:rPr>
        <w:t xml:space="preserve">Chief Executive  </w:t>
      </w:r>
    </w:p>
    <w:p w:rsidR="00431433" w:rsidRDefault="00431433" w:rsidP="00431433">
      <w:pPr>
        <w:pStyle w:val="NoSpacing"/>
        <w:shd w:val="clear" w:color="auto" w:fill="F2F2F2" w:themeFill="background1" w:themeFillShade="F2"/>
        <w:rPr>
          <w:b/>
        </w:rPr>
      </w:pPr>
      <w:r>
        <w:rPr>
          <w:b/>
        </w:rPr>
        <w:t xml:space="preserve">RE: VFM </w:t>
      </w:r>
      <w:r w:rsidR="00702B8E">
        <w:rPr>
          <w:b/>
        </w:rPr>
        <w:t xml:space="preserve">Garryowen Limerick City, </w:t>
      </w:r>
    </w:p>
    <w:p w:rsidR="00702B8E" w:rsidRDefault="00702B8E" w:rsidP="00431433">
      <w:pPr>
        <w:pStyle w:val="NoSpacing"/>
        <w:shd w:val="clear" w:color="auto" w:fill="F2F2F2" w:themeFill="background1" w:themeFillShade="F2"/>
        <w:rPr>
          <w:b/>
        </w:rPr>
      </w:pPr>
      <w:r>
        <w:rPr>
          <w:b/>
        </w:rPr>
        <w:t>Marshall House</w:t>
      </w:r>
    </w:p>
    <w:p w:rsidR="00702B8E" w:rsidRDefault="00702B8E" w:rsidP="00431433">
      <w:pPr>
        <w:pStyle w:val="NoSpacing"/>
        <w:shd w:val="clear" w:color="auto" w:fill="F2F2F2" w:themeFill="background1" w:themeFillShade="F2"/>
        <w:rPr>
          <w:b/>
        </w:rPr>
      </w:pPr>
      <w:r>
        <w:rPr>
          <w:b/>
        </w:rPr>
        <w:t>Dooradoyle Road</w:t>
      </w:r>
    </w:p>
    <w:p w:rsidR="00702B8E" w:rsidRPr="0080230A" w:rsidRDefault="00126C8D" w:rsidP="00431433">
      <w:pPr>
        <w:pStyle w:val="NoSpacing"/>
        <w:shd w:val="clear" w:color="auto" w:fill="F2F2F2" w:themeFill="background1" w:themeFillShade="F2"/>
        <w:rPr>
          <w:b/>
        </w:rPr>
      </w:pPr>
      <w:r>
        <w:rPr>
          <w:b/>
        </w:rPr>
        <w:t>Li</w:t>
      </w:r>
      <w:r w:rsidR="00702B8E">
        <w:rPr>
          <w:b/>
        </w:rPr>
        <w:t>m</w:t>
      </w:r>
      <w:r>
        <w:rPr>
          <w:b/>
        </w:rPr>
        <w:t>e</w:t>
      </w:r>
      <w:r w:rsidR="00702B8E">
        <w:rPr>
          <w:b/>
        </w:rPr>
        <w:t xml:space="preserve">rick </w:t>
      </w:r>
    </w:p>
    <w:p w:rsidR="00431433" w:rsidRDefault="00431433" w:rsidP="00431433">
      <w:pPr>
        <w:pStyle w:val="NoSpacing"/>
      </w:pPr>
    </w:p>
    <w:p w:rsidR="00431433" w:rsidRDefault="00431433" w:rsidP="00431433">
      <w:pPr>
        <w:pStyle w:val="NoSpacing"/>
      </w:pPr>
      <w:r>
        <w:t>It is the responsibility of each applica</w:t>
      </w:r>
      <w:r w:rsidR="00702B8E">
        <w:t>nt to ensure the form reaches LC</w:t>
      </w:r>
      <w:r>
        <w:t>ETB before this deadline. Application Forms sent to any other address (other than the one indicated above) or received after the specified date and time will be deemed invalid.</w:t>
      </w:r>
    </w:p>
    <w:p w:rsidR="00431433" w:rsidRDefault="00431433" w:rsidP="00431433">
      <w:pPr>
        <w:pStyle w:val="NoSpacing"/>
      </w:pPr>
    </w:p>
    <w:p w:rsidR="00E32DC5" w:rsidRDefault="00E32DC5">
      <w:pPr>
        <w:rPr>
          <w:sz w:val="24"/>
          <w:szCs w:val="24"/>
        </w:rPr>
      </w:pPr>
    </w:p>
    <w:p w:rsidR="00E32DC5" w:rsidRDefault="00E32DC5">
      <w:pPr>
        <w:rPr>
          <w:sz w:val="24"/>
          <w:szCs w:val="24"/>
        </w:rPr>
      </w:pPr>
    </w:p>
    <w:p w:rsidR="00E32DC5" w:rsidRDefault="00E32DC5">
      <w:pPr>
        <w:rPr>
          <w:sz w:val="24"/>
          <w:szCs w:val="24"/>
        </w:rPr>
      </w:pPr>
    </w:p>
    <w:p w:rsidR="00E32DC5" w:rsidRPr="00E32DC5" w:rsidRDefault="00E32DC5">
      <w:pPr>
        <w:rPr>
          <w:sz w:val="24"/>
          <w:szCs w:val="24"/>
        </w:rPr>
      </w:pPr>
    </w:p>
    <w:sectPr w:rsidR="00E32DC5" w:rsidRPr="00E32DC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52F" w:rsidRDefault="00F9352F" w:rsidP="00702B8E">
      <w:pPr>
        <w:spacing w:after="0" w:line="240" w:lineRule="auto"/>
      </w:pPr>
      <w:r>
        <w:separator/>
      </w:r>
    </w:p>
  </w:endnote>
  <w:endnote w:type="continuationSeparator" w:id="0">
    <w:p w:rsidR="00F9352F" w:rsidRDefault="00F9352F" w:rsidP="00702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52F" w:rsidRDefault="00F9352F" w:rsidP="00702B8E">
      <w:pPr>
        <w:spacing w:after="0" w:line="240" w:lineRule="auto"/>
      </w:pPr>
      <w:r>
        <w:separator/>
      </w:r>
    </w:p>
  </w:footnote>
  <w:footnote w:type="continuationSeparator" w:id="0">
    <w:p w:rsidR="00F9352F" w:rsidRDefault="00F9352F" w:rsidP="00702B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52F" w:rsidRDefault="00F9352F">
    <w:pPr>
      <w:pStyle w:val="Header"/>
    </w:pPr>
    <w:r>
      <w:rPr>
        <w:noProof/>
        <w:lang w:eastAsia="en-IE"/>
      </w:rPr>
      <w:drawing>
        <wp:inline distT="0" distB="0" distL="0" distR="0" wp14:anchorId="3CD09802">
          <wp:extent cx="2704465" cy="9525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4465" cy="952500"/>
                  </a:xfrm>
                  <a:prstGeom prst="rect">
                    <a:avLst/>
                  </a:prstGeom>
                  <a:noFill/>
                </pic:spPr>
              </pic:pic>
            </a:graphicData>
          </a:graphic>
        </wp:inline>
      </w:drawing>
    </w:r>
  </w:p>
  <w:p w:rsidR="00F9352F" w:rsidRDefault="00F935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7C8F9BA"/>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E51111"/>
    <w:multiLevelType w:val="hybridMultilevel"/>
    <w:tmpl w:val="43E2B5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756D81"/>
    <w:multiLevelType w:val="hybridMultilevel"/>
    <w:tmpl w:val="64882836"/>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9FA7898"/>
    <w:multiLevelType w:val="hybridMultilevel"/>
    <w:tmpl w:val="465214AC"/>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A2152C6"/>
    <w:multiLevelType w:val="hybridMultilevel"/>
    <w:tmpl w:val="8A88E7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0D7D2004"/>
    <w:multiLevelType w:val="hybridMultilevel"/>
    <w:tmpl w:val="CF86C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044BBD"/>
    <w:multiLevelType w:val="hybridMultilevel"/>
    <w:tmpl w:val="98E040E6"/>
    <w:lvl w:ilvl="0" w:tplc="18090019">
      <w:start w:val="1"/>
      <w:numFmt w:val="lowerLetter"/>
      <w:lvlText w:val="%1."/>
      <w:lvlJc w:val="left"/>
      <w:pPr>
        <w:ind w:left="720" w:hanging="360"/>
      </w:pPr>
      <w:rPr>
        <w:rFonts w:hint="default"/>
      </w:rPr>
    </w:lvl>
    <w:lvl w:ilvl="1" w:tplc="1809000B">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0FE27B97"/>
    <w:multiLevelType w:val="hybridMultilevel"/>
    <w:tmpl w:val="115A19B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nsid w:val="22281697"/>
    <w:multiLevelType w:val="hybridMultilevel"/>
    <w:tmpl w:val="118C81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231B050B"/>
    <w:multiLevelType w:val="hybridMultilevel"/>
    <w:tmpl w:val="3924A1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263277D4"/>
    <w:multiLevelType w:val="hybridMultilevel"/>
    <w:tmpl w:val="8944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0F74D2"/>
    <w:multiLevelType w:val="hybridMultilevel"/>
    <w:tmpl w:val="C6426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7E6EE3"/>
    <w:multiLevelType w:val="hybridMultilevel"/>
    <w:tmpl w:val="92A417A0"/>
    <w:lvl w:ilvl="0" w:tplc="18090019">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2BA0606D"/>
    <w:multiLevelType w:val="hybridMultilevel"/>
    <w:tmpl w:val="49A6E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EF13FF"/>
    <w:multiLevelType w:val="hybridMultilevel"/>
    <w:tmpl w:val="BAC0E1DC"/>
    <w:lvl w:ilvl="0" w:tplc="1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874577"/>
    <w:multiLevelType w:val="hybridMultilevel"/>
    <w:tmpl w:val="BFEC48D6"/>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30A57698"/>
    <w:multiLevelType w:val="hybridMultilevel"/>
    <w:tmpl w:val="B9F8F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C226E5"/>
    <w:multiLevelType w:val="hybridMultilevel"/>
    <w:tmpl w:val="AE36D6E8"/>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32174930"/>
    <w:multiLevelType w:val="hybridMultilevel"/>
    <w:tmpl w:val="F0E4E7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380333"/>
    <w:multiLevelType w:val="hybridMultilevel"/>
    <w:tmpl w:val="E684E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FA2111"/>
    <w:multiLevelType w:val="hybridMultilevel"/>
    <w:tmpl w:val="689A3E38"/>
    <w:lvl w:ilvl="0" w:tplc="0BFE79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D7B6264"/>
    <w:multiLevelType w:val="hybridMultilevel"/>
    <w:tmpl w:val="BC742D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44727939"/>
    <w:multiLevelType w:val="hybridMultilevel"/>
    <w:tmpl w:val="B03ED3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454B16A2"/>
    <w:multiLevelType w:val="hybridMultilevel"/>
    <w:tmpl w:val="D34A4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CA472C"/>
    <w:multiLevelType w:val="hybridMultilevel"/>
    <w:tmpl w:val="651EC2B6"/>
    <w:lvl w:ilvl="0" w:tplc="1809000F">
      <w:start w:val="1"/>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nsid w:val="484D089A"/>
    <w:multiLevelType w:val="hybridMultilevel"/>
    <w:tmpl w:val="9064D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422789"/>
    <w:multiLevelType w:val="hybridMultilevel"/>
    <w:tmpl w:val="D0304ED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614435A7"/>
    <w:multiLevelType w:val="hybridMultilevel"/>
    <w:tmpl w:val="F23C88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A971CE"/>
    <w:multiLevelType w:val="hybridMultilevel"/>
    <w:tmpl w:val="5288A2A0"/>
    <w:lvl w:ilvl="0" w:tplc="18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282A07"/>
    <w:multiLevelType w:val="hybridMultilevel"/>
    <w:tmpl w:val="03C4EF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72E2090A"/>
    <w:multiLevelType w:val="hybridMultilevel"/>
    <w:tmpl w:val="1DD84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CF6184"/>
    <w:multiLevelType w:val="hybridMultilevel"/>
    <w:tmpl w:val="88FA8010"/>
    <w:lvl w:ilvl="0" w:tplc="04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7F035BF6"/>
    <w:multiLevelType w:val="hybridMultilevel"/>
    <w:tmpl w:val="28A6B258"/>
    <w:lvl w:ilvl="0" w:tplc="0409000F">
      <w:start w:val="1"/>
      <w:numFmt w:val="decimal"/>
      <w:lvlText w:val="%1."/>
      <w:lvlJc w:val="left"/>
      <w:pPr>
        <w:ind w:left="720" w:hanging="360"/>
      </w:pPr>
    </w:lvl>
    <w:lvl w:ilvl="1" w:tplc="0409000D">
      <w:start w:val="1"/>
      <w:numFmt w:val="bullet"/>
      <w:lvlText w:val=""/>
      <w:lvlJc w:val="left"/>
      <w:pPr>
        <w:ind w:left="1440" w:hanging="360"/>
      </w:pPr>
      <w:rPr>
        <w:rFonts w:ascii="Wingdings" w:hAnsi="Wingdings" w:hint="default"/>
      </w:rPr>
    </w:lvl>
    <w:lvl w:ilvl="2" w:tplc="5F603F8E">
      <w:numFmt w:val="bullet"/>
      <w:lvlText w:val="•"/>
      <w:lvlJc w:val="left"/>
      <w:pPr>
        <w:ind w:left="2700" w:hanging="720"/>
      </w:pPr>
      <w:rPr>
        <w:rFonts w:ascii="Calibri" w:eastAsiaTheme="minorHAnsi" w:hAnsi="Calibri"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7"/>
  </w:num>
  <w:num w:numId="3">
    <w:abstractNumId w:val="18"/>
  </w:num>
  <w:num w:numId="4">
    <w:abstractNumId w:val="9"/>
  </w:num>
  <w:num w:numId="5">
    <w:abstractNumId w:val="4"/>
  </w:num>
  <w:num w:numId="6">
    <w:abstractNumId w:val="23"/>
  </w:num>
  <w:num w:numId="7">
    <w:abstractNumId w:val="32"/>
  </w:num>
  <w:num w:numId="8">
    <w:abstractNumId w:val="26"/>
  </w:num>
  <w:num w:numId="9">
    <w:abstractNumId w:val="0"/>
  </w:num>
  <w:num w:numId="10">
    <w:abstractNumId w:val="30"/>
  </w:num>
  <w:num w:numId="11">
    <w:abstractNumId w:val="20"/>
  </w:num>
  <w:num w:numId="12">
    <w:abstractNumId w:val="29"/>
  </w:num>
  <w:num w:numId="13">
    <w:abstractNumId w:val="13"/>
  </w:num>
  <w:num w:numId="14">
    <w:abstractNumId w:val="16"/>
  </w:num>
  <w:num w:numId="15">
    <w:abstractNumId w:val="11"/>
  </w:num>
  <w:num w:numId="16">
    <w:abstractNumId w:val="25"/>
  </w:num>
  <w:num w:numId="17">
    <w:abstractNumId w:val="1"/>
  </w:num>
  <w:num w:numId="18">
    <w:abstractNumId w:val="15"/>
  </w:num>
  <w:num w:numId="19">
    <w:abstractNumId w:val="6"/>
  </w:num>
  <w:num w:numId="20">
    <w:abstractNumId w:val="12"/>
  </w:num>
  <w:num w:numId="21">
    <w:abstractNumId w:val="28"/>
  </w:num>
  <w:num w:numId="22">
    <w:abstractNumId w:val="14"/>
  </w:num>
  <w:num w:numId="23">
    <w:abstractNumId w:val="31"/>
  </w:num>
  <w:num w:numId="24">
    <w:abstractNumId w:val="10"/>
  </w:num>
  <w:num w:numId="25">
    <w:abstractNumId w:val="19"/>
  </w:num>
  <w:num w:numId="26">
    <w:abstractNumId w:val="5"/>
  </w:num>
  <w:num w:numId="27">
    <w:abstractNumId w:val="8"/>
  </w:num>
  <w:num w:numId="28">
    <w:abstractNumId w:val="7"/>
  </w:num>
  <w:num w:numId="29">
    <w:abstractNumId w:val="22"/>
  </w:num>
  <w:num w:numId="30">
    <w:abstractNumId w:val="3"/>
  </w:num>
  <w:num w:numId="31">
    <w:abstractNumId w:val="17"/>
  </w:num>
  <w:num w:numId="32">
    <w:abstractNumId w:val="2"/>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DC5"/>
    <w:rsid w:val="00045598"/>
    <w:rsid w:val="00104216"/>
    <w:rsid w:val="00126C8D"/>
    <w:rsid w:val="001332B7"/>
    <w:rsid w:val="00170213"/>
    <w:rsid w:val="002E1D1A"/>
    <w:rsid w:val="002F4668"/>
    <w:rsid w:val="003B0859"/>
    <w:rsid w:val="00431433"/>
    <w:rsid w:val="00566601"/>
    <w:rsid w:val="00702B8E"/>
    <w:rsid w:val="00750023"/>
    <w:rsid w:val="00781E30"/>
    <w:rsid w:val="007D442A"/>
    <w:rsid w:val="009D67F6"/>
    <w:rsid w:val="00A70FEE"/>
    <w:rsid w:val="00D831A6"/>
    <w:rsid w:val="00E32DC5"/>
    <w:rsid w:val="00F9352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DC5"/>
    <w:pPr>
      <w:ind w:left="720"/>
      <w:contextualSpacing/>
    </w:pPr>
  </w:style>
  <w:style w:type="paragraph" w:styleId="BodyText">
    <w:name w:val="Body Text"/>
    <w:basedOn w:val="Normal"/>
    <w:link w:val="BodyTextChar"/>
    <w:uiPriority w:val="99"/>
    <w:unhideWhenUsed/>
    <w:rsid w:val="00E32DC5"/>
    <w:pPr>
      <w:spacing w:after="120"/>
    </w:pPr>
  </w:style>
  <w:style w:type="character" w:customStyle="1" w:styleId="BodyTextChar">
    <w:name w:val="Body Text Char"/>
    <w:basedOn w:val="DefaultParagraphFont"/>
    <w:link w:val="BodyText"/>
    <w:uiPriority w:val="99"/>
    <w:rsid w:val="00E32DC5"/>
  </w:style>
  <w:style w:type="paragraph" w:styleId="NoSpacing">
    <w:name w:val="No Spacing"/>
    <w:link w:val="NoSpacingChar"/>
    <w:uiPriority w:val="1"/>
    <w:qFormat/>
    <w:rsid w:val="00E32DC5"/>
    <w:pPr>
      <w:spacing w:after="0" w:line="240" w:lineRule="auto"/>
    </w:pPr>
  </w:style>
  <w:style w:type="character" w:customStyle="1" w:styleId="NoSpacingChar">
    <w:name w:val="No Spacing Char"/>
    <w:link w:val="NoSpacing"/>
    <w:uiPriority w:val="1"/>
    <w:rsid w:val="00E32DC5"/>
  </w:style>
  <w:style w:type="table" w:customStyle="1" w:styleId="ListTable4-Accent61">
    <w:name w:val="List Table 4 - Accent 61"/>
    <w:basedOn w:val="TableNormal"/>
    <w:uiPriority w:val="49"/>
    <w:rsid w:val="00E32DC5"/>
    <w:pPr>
      <w:spacing w:after="0" w:line="240" w:lineRule="auto"/>
      <w:jc w:val="both"/>
    </w:pPr>
    <w:rPr>
      <w:rFonts w:eastAsiaTheme="minorEastAsia"/>
      <w:sz w:val="20"/>
      <w:szCs w:val="20"/>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ListBullet2">
    <w:name w:val="List Bullet 2"/>
    <w:basedOn w:val="Normal"/>
    <w:uiPriority w:val="99"/>
    <w:unhideWhenUsed/>
    <w:rsid w:val="00E32DC5"/>
    <w:pPr>
      <w:numPr>
        <w:numId w:val="9"/>
      </w:numPr>
      <w:contextualSpacing/>
    </w:pPr>
  </w:style>
  <w:style w:type="table" w:styleId="TableGrid">
    <w:name w:val="Table Grid"/>
    <w:basedOn w:val="TableNormal"/>
    <w:uiPriority w:val="99"/>
    <w:rsid w:val="00431433"/>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2B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B8E"/>
  </w:style>
  <w:style w:type="paragraph" w:styleId="Footer">
    <w:name w:val="footer"/>
    <w:basedOn w:val="Normal"/>
    <w:link w:val="FooterChar"/>
    <w:uiPriority w:val="99"/>
    <w:unhideWhenUsed/>
    <w:rsid w:val="00702B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B8E"/>
  </w:style>
  <w:style w:type="paragraph" w:styleId="BalloonText">
    <w:name w:val="Balloon Text"/>
    <w:basedOn w:val="Normal"/>
    <w:link w:val="BalloonTextChar"/>
    <w:uiPriority w:val="99"/>
    <w:semiHidden/>
    <w:unhideWhenUsed/>
    <w:rsid w:val="00702B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B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DC5"/>
    <w:pPr>
      <w:ind w:left="720"/>
      <w:contextualSpacing/>
    </w:pPr>
  </w:style>
  <w:style w:type="paragraph" w:styleId="BodyText">
    <w:name w:val="Body Text"/>
    <w:basedOn w:val="Normal"/>
    <w:link w:val="BodyTextChar"/>
    <w:uiPriority w:val="99"/>
    <w:unhideWhenUsed/>
    <w:rsid w:val="00E32DC5"/>
    <w:pPr>
      <w:spacing w:after="120"/>
    </w:pPr>
  </w:style>
  <w:style w:type="character" w:customStyle="1" w:styleId="BodyTextChar">
    <w:name w:val="Body Text Char"/>
    <w:basedOn w:val="DefaultParagraphFont"/>
    <w:link w:val="BodyText"/>
    <w:uiPriority w:val="99"/>
    <w:rsid w:val="00E32DC5"/>
  </w:style>
  <w:style w:type="paragraph" w:styleId="NoSpacing">
    <w:name w:val="No Spacing"/>
    <w:link w:val="NoSpacingChar"/>
    <w:uiPriority w:val="1"/>
    <w:qFormat/>
    <w:rsid w:val="00E32DC5"/>
    <w:pPr>
      <w:spacing w:after="0" w:line="240" w:lineRule="auto"/>
    </w:pPr>
  </w:style>
  <w:style w:type="character" w:customStyle="1" w:styleId="NoSpacingChar">
    <w:name w:val="No Spacing Char"/>
    <w:link w:val="NoSpacing"/>
    <w:uiPriority w:val="1"/>
    <w:rsid w:val="00E32DC5"/>
  </w:style>
  <w:style w:type="table" w:customStyle="1" w:styleId="ListTable4-Accent61">
    <w:name w:val="List Table 4 - Accent 61"/>
    <w:basedOn w:val="TableNormal"/>
    <w:uiPriority w:val="49"/>
    <w:rsid w:val="00E32DC5"/>
    <w:pPr>
      <w:spacing w:after="0" w:line="240" w:lineRule="auto"/>
      <w:jc w:val="both"/>
    </w:pPr>
    <w:rPr>
      <w:rFonts w:eastAsiaTheme="minorEastAsia"/>
      <w:sz w:val="20"/>
      <w:szCs w:val="20"/>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ListBullet2">
    <w:name w:val="List Bullet 2"/>
    <w:basedOn w:val="Normal"/>
    <w:uiPriority w:val="99"/>
    <w:unhideWhenUsed/>
    <w:rsid w:val="00E32DC5"/>
    <w:pPr>
      <w:numPr>
        <w:numId w:val="9"/>
      </w:numPr>
      <w:contextualSpacing/>
    </w:pPr>
  </w:style>
  <w:style w:type="table" w:styleId="TableGrid">
    <w:name w:val="Table Grid"/>
    <w:basedOn w:val="TableNormal"/>
    <w:uiPriority w:val="99"/>
    <w:rsid w:val="00431433"/>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2B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B8E"/>
  </w:style>
  <w:style w:type="paragraph" w:styleId="Footer">
    <w:name w:val="footer"/>
    <w:basedOn w:val="Normal"/>
    <w:link w:val="FooterChar"/>
    <w:uiPriority w:val="99"/>
    <w:unhideWhenUsed/>
    <w:rsid w:val="00702B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B8E"/>
  </w:style>
  <w:style w:type="paragraph" w:styleId="BalloonText">
    <w:name w:val="Balloon Text"/>
    <w:basedOn w:val="Normal"/>
    <w:link w:val="BalloonTextChar"/>
    <w:uiPriority w:val="99"/>
    <w:semiHidden/>
    <w:unhideWhenUsed/>
    <w:rsid w:val="00702B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B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3187</Words>
  <Characters>18166</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Limerick and Clare ETB</Company>
  <LinksUpToDate>false</LinksUpToDate>
  <CharactersWithSpaces>21311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 Foley</dc:creator>
  <cp:lastModifiedBy>Rory Quinn</cp:lastModifiedBy>
  <cp:revision>2</cp:revision>
  <dcterms:created xsi:type="dcterms:W3CDTF">2018-01-10T15:23:00Z</dcterms:created>
  <dcterms:modified xsi:type="dcterms:W3CDTF">2018-01-10T15:23:00Z</dcterms:modified>
</cp:coreProperties>
</file>